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99" w:rsidRDefault="00900199"/>
    <w:tbl>
      <w:tblPr>
        <w:tblStyle w:val="TableGrid"/>
        <w:tblW w:w="0" w:type="auto"/>
        <w:shd w:val="solid" w:color="92D050" w:fill="92D050"/>
        <w:tblLook w:val="04A0" w:firstRow="1" w:lastRow="0" w:firstColumn="1" w:lastColumn="0" w:noHBand="0" w:noVBand="1"/>
      </w:tblPr>
      <w:tblGrid>
        <w:gridCol w:w="9242"/>
      </w:tblGrid>
      <w:tr w:rsidR="00900199" w:rsidTr="00A33C77">
        <w:tc>
          <w:tcPr>
            <w:tcW w:w="9242" w:type="dxa"/>
            <w:shd w:val="solid" w:color="92D050" w:fill="92D050"/>
          </w:tcPr>
          <w:p w:rsidR="00900199" w:rsidRPr="00A33C77" w:rsidRDefault="00900199" w:rsidP="00900199">
            <w:pPr>
              <w:jc w:val="center"/>
              <w:rPr>
                <w:rFonts w:asciiTheme="minorHAnsi" w:hAnsiTheme="minorHAnsi"/>
                <w:b/>
              </w:rPr>
            </w:pPr>
          </w:p>
          <w:p w:rsidR="00192AD3" w:rsidRDefault="00900199" w:rsidP="00900199">
            <w:pPr>
              <w:jc w:val="center"/>
              <w:rPr>
                <w:rFonts w:asciiTheme="minorHAnsi" w:hAnsiTheme="minorHAnsi"/>
                <w:b/>
              </w:rPr>
            </w:pPr>
            <w:r w:rsidRPr="00A33C77">
              <w:rPr>
                <w:rFonts w:asciiTheme="minorHAnsi" w:hAnsiTheme="minorHAnsi"/>
                <w:b/>
              </w:rPr>
              <w:t>Report by the Secretariat to the Executive Committee on</w:t>
            </w:r>
            <w:r w:rsidR="0054555D" w:rsidRPr="00A33C77">
              <w:rPr>
                <w:rFonts w:asciiTheme="minorHAnsi" w:hAnsiTheme="minorHAnsi"/>
                <w:b/>
              </w:rPr>
              <w:t xml:space="preserve"> Communications:</w:t>
            </w:r>
            <w:r w:rsidRPr="00A33C77">
              <w:rPr>
                <w:rFonts w:asciiTheme="minorHAnsi" w:hAnsiTheme="minorHAnsi"/>
                <w:b/>
              </w:rPr>
              <w:t xml:space="preserve"> </w:t>
            </w:r>
          </w:p>
          <w:p w:rsidR="00900199" w:rsidRPr="00A33C77" w:rsidRDefault="0054555D" w:rsidP="00900199">
            <w:pPr>
              <w:jc w:val="center"/>
              <w:rPr>
                <w:rFonts w:asciiTheme="minorHAnsi" w:hAnsiTheme="minorHAnsi"/>
                <w:b/>
              </w:rPr>
            </w:pPr>
            <w:r w:rsidRPr="00A33C77">
              <w:rPr>
                <w:rFonts w:asciiTheme="minorHAnsi" w:hAnsiTheme="minorHAnsi"/>
                <w:b/>
              </w:rPr>
              <w:t xml:space="preserve">Website </w:t>
            </w:r>
            <w:r w:rsidR="00900199" w:rsidRPr="00A33C77">
              <w:rPr>
                <w:rFonts w:asciiTheme="minorHAnsi" w:hAnsiTheme="minorHAnsi"/>
                <w:b/>
              </w:rPr>
              <w:t>updates</w:t>
            </w:r>
            <w:r w:rsidRPr="00A33C77">
              <w:rPr>
                <w:rFonts w:asciiTheme="minorHAnsi" w:hAnsiTheme="minorHAnsi"/>
                <w:b/>
              </w:rPr>
              <w:t>, Twitter</w:t>
            </w:r>
            <w:r w:rsidR="00900199" w:rsidRPr="00A33C77">
              <w:rPr>
                <w:rFonts w:asciiTheme="minorHAnsi" w:hAnsiTheme="minorHAnsi"/>
                <w:b/>
              </w:rPr>
              <w:t xml:space="preserve"> and </w:t>
            </w:r>
            <w:r w:rsidRPr="00A33C77">
              <w:rPr>
                <w:rFonts w:asciiTheme="minorHAnsi" w:hAnsiTheme="minorHAnsi"/>
                <w:b/>
              </w:rPr>
              <w:t xml:space="preserve">Website </w:t>
            </w:r>
            <w:r w:rsidR="00900199" w:rsidRPr="00A33C77">
              <w:rPr>
                <w:rFonts w:asciiTheme="minorHAnsi" w:hAnsiTheme="minorHAnsi"/>
                <w:b/>
              </w:rPr>
              <w:t>analytics</w:t>
            </w:r>
          </w:p>
          <w:p w:rsidR="00A33C77" w:rsidRPr="00A33C77" w:rsidRDefault="00A33C77" w:rsidP="00900199">
            <w:pPr>
              <w:jc w:val="center"/>
              <w:rPr>
                <w:rFonts w:asciiTheme="minorHAnsi" w:hAnsiTheme="minorHAnsi"/>
                <w:b/>
              </w:rPr>
            </w:pPr>
          </w:p>
          <w:p w:rsidR="00A33C77" w:rsidRPr="00A33C77" w:rsidRDefault="00A33C77" w:rsidP="00900199">
            <w:pPr>
              <w:jc w:val="center"/>
              <w:rPr>
                <w:rFonts w:asciiTheme="minorHAnsi" w:hAnsiTheme="minorHAnsi"/>
                <w:b/>
              </w:rPr>
            </w:pPr>
            <w:r w:rsidRPr="00A33C77">
              <w:rPr>
                <w:rFonts w:asciiTheme="minorHAnsi" w:hAnsiTheme="minorHAnsi"/>
                <w:b/>
              </w:rPr>
              <w:t>1 March 2016</w:t>
            </w:r>
          </w:p>
          <w:p w:rsidR="00900199" w:rsidRDefault="00900199">
            <w:pPr>
              <w:rPr>
                <w:rFonts w:asciiTheme="minorHAnsi" w:hAnsiTheme="minorHAnsi"/>
              </w:rPr>
            </w:pPr>
          </w:p>
        </w:tc>
      </w:tr>
    </w:tbl>
    <w:p w:rsidR="00900199" w:rsidRDefault="00900199">
      <w:pPr>
        <w:rPr>
          <w:rFonts w:asciiTheme="minorHAnsi" w:hAnsiTheme="minorHAnsi"/>
        </w:rPr>
      </w:pPr>
    </w:p>
    <w:p w:rsidR="00900199" w:rsidRPr="00900199" w:rsidRDefault="00900199">
      <w:pPr>
        <w:rPr>
          <w:rFonts w:asciiTheme="minorHAnsi" w:hAnsiTheme="minorHAnsi"/>
          <w:b/>
        </w:rPr>
      </w:pPr>
      <w:r w:rsidRPr="00900199">
        <w:rPr>
          <w:rFonts w:asciiTheme="minorHAnsi" w:hAnsiTheme="minorHAnsi"/>
          <w:b/>
        </w:rPr>
        <w:t>Website updates</w:t>
      </w:r>
    </w:p>
    <w:p w:rsidR="00900199" w:rsidRDefault="00900199" w:rsidP="009001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Secretariat regularly updates the website. Since the last report the following </w:t>
      </w:r>
      <w:r w:rsidR="00192AD3">
        <w:rPr>
          <w:rFonts w:asciiTheme="minorHAnsi" w:hAnsiTheme="minorHAnsi"/>
        </w:rPr>
        <w:t>noteworthy changes</w:t>
      </w:r>
      <w:r>
        <w:rPr>
          <w:rFonts w:asciiTheme="minorHAnsi" w:hAnsiTheme="minorHAnsi"/>
        </w:rPr>
        <w:t xml:space="preserve"> have been made to the website: </w:t>
      </w:r>
    </w:p>
    <w:p w:rsidR="00900199" w:rsidRDefault="00900199" w:rsidP="0074062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192AD3">
        <w:rPr>
          <w:rFonts w:asciiTheme="minorHAnsi" w:hAnsiTheme="minorHAnsi"/>
          <w:b/>
        </w:rPr>
        <w:t>Events calendar</w:t>
      </w:r>
      <w:r>
        <w:rPr>
          <w:rFonts w:asciiTheme="minorHAnsi" w:hAnsiTheme="minorHAnsi"/>
        </w:rPr>
        <w:t xml:space="preserve">: </w:t>
      </w:r>
      <w:r w:rsidR="00192AD3">
        <w:rPr>
          <w:rFonts w:asciiTheme="minorHAnsi" w:hAnsiTheme="minorHAnsi"/>
        </w:rPr>
        <w:t>Numerous</w:t>
      </w:r>
      <w:r>
        <w:rPr>
          <w:rFonts w:asciiTheme="minorHAnsi" w:hAnsiTheme="minorHAnsi"/>
        </w:rPr>
        <w:t xml:space="preserve"> eve</w:t>
      </w:r>
      <w:r w:rsidR="0074062B">
        <w:rPr>
          <w:rFonts w:asciiTheme="minorHAnsi" w:hAnsiTheme="minorHAnsi"/>
        </w:rPr>
        <w:t xml:space="preserve">nts in different jurisdictions for 2016 and 2017 added. The calendar is continuously updated </w:t>
      </w:r>
      <w:r w:rsidR="00192AD3">
        <w:rPr>
          <w:rFonts w:asciiTheme="minorHAnsi" w:hAnsiTheme="minorHAnsi"/>
        </w:rPr>
        <w:t xml:space="preserve">and we are seeking to be </w:t>
      </w:r>
      <w:proofErr w:type="gramStart"/>
      <w:r w:rsidR="00192AD3">
        <w:rPr>
          <w:rFonts w:asciiTheme="minorHAnsi" w:hAnsiTheme="minorHAnsi"/>
        </w:rPr>
        <w:t>an</w:t>
      </w:r>
      <w:proofErr w:type="gramEnd"/>
      <w:r w:rsidR="00192AD3">
        <w:rPr>
          <w:rFonts w:asciiTheme="minorHAnsi" w:hAnsiTheme="minorHAnsi"/>
        </w:rPr>
        <w:t xml:space="preserve"> key resource for DPAs and others scheduling international meetings</w:t>
      </w:r>
      <w:r w:rsidR="0074062B">
        <w:rPr>
          <w:rFonts w:asciiTheme="minorHAnsi" w:hAnsiTheme="minorHAnsi"/>
        </w:rPr>
        <w:t xml:space="preserve">. </w:t>
      </w:r>
    </w:p>
    <w:p w:rsidR="00F53AD1" w:rsidRDefault="00F53AD1" w:rsidP="0074062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192AD3">
        <w:rPr>
          <w:rFonts w:asciiTheme="minorHAnsi" w:hAnsiTheme="minorHAnsi"/>
          <w:b/>
        </w:rPr>
        <w:t>38</w:t>
      </w:r>
      <w:r w:rsidRPr="00192AD3">
        <w:rPr>
          <w:rFonts w:asciiTheme="minorHAnsi" w:hAnsiTheme="minorHAnsi"/>
          <w:b/>
          <w:vertAlign w:val="superscript"/>
        </w:rPr>
        <w:t>th</w:t>
      </w:r>
      <w:r w:rsidRPr="00192AD3">
        <w:rPr>
          <w:rFonts w:asciiTheme="minorHAnsi" w:hAnsiTheme="minorHAnsi"/>
          <w:b/>
        </w:rPr>
        <w:t xml:space="preserve"> Conference updates</w:t>
      </w:r>
      <w:r>
        <w:rPr>
          <w:rFonts w:asciiTheme="minorHAnsi" w:hAnsiTheme="minorHAnsi"/>
        </w:rPr>
        <w:t>: A dedicated page is created for the 38</w:t>
      </w:r>
      <w:r w:rsidRPr="00F53AD1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Conference where regular updates will be posted. </w:t>
      </w:r>
    </w:p>
    <w:p w:rsidR="00F53AD1" w:rsidRDefault="00F53AD1" w:rsidP="0074062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192AD3">
        <w:rPr>
          <w:rFonts w:asciiTheme="minorHAnsi" w:hAnsiTheme="minorHAnsi"/>
          <w:b/>
        </w:rPr>
        <w:t xml:space="preserve">Presentations </w:t>
      </w:r>
      <w:r w:rsidR="00192AD3" w:rsidRPr="00192AD3">
        <w:rPr>
          <w:rFonts w:asciiTheme="minorHAnsi" w:hAnsiTheme="minorHAnsi"/>
          <w:b/>
        </w:rPr>
        <w:t>on behalf of ExCo</w:t>
      </w:r>
      <w:r w:rsidRPr="00192AD3">
        <w:rPr>
          <w:rFonts w:asciiTheme="minorHAnsi" w:hAnsiTheme="minorHAnsi"/>
          <w:b/>
        </w:rPr>
        <w:t xml:space="preserve"> at International events</w:t>
      </w:r>
      <w:r>
        <w:rPr>
          <w:rFonts w:asciiTheme="minorHAnsi" w:hAnsiTheme="minorHAnsi"/>
        </w:rPr>
        <w:t>: Presentations at Macau, December 2015, Ghana, January 2016</w:t>
      </w:r>
      <w:r w:rsidR="0054555D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 xml:space="preserve">Peru, February 2016 </w:t>
      </w:r>
      <w:r w:rsidR="00192AD3">
        <w:rPr>
          <w:rFonts w:asciiTheme="minorHAnsi" w:hAnsiTheme="minorHAnsi"/>
        </w:rPr>
        <w:t>have been</w:t>
      </w:r>
      <w:r w:rsidR="0054555D">
        <w:rPr>
          <w:rFonts w:asciiTheme="minorHAnsi" w:hAnsiTheme="minorHAnsi"/>
        </w:rPr>
        <w:t xml:space="preserve"> uploaded</w:t>
      </w:r>
      <w:r>
        <w:rPr>
          <w:rFonts w:asciiTheme="minorHAnsi" w:hAnsiTheme="minorHAnsi"/>
        </w:rPr>
        <w:t>.</w:t>
      </w:r>
    </w:p>
    <w:p w:rsidR="00F53AD1" w:rsidRDefault="00F53AD1" w:rsidP="0074062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192AD3">
        <w:rPr>
          <w:rFonts w:asciiTheme="minorHAnsi" w:hAnsiTheme="minorHAnsi"/>
          <w:b/>
        </w:rPr>
        <w:t>Current working groups</w:t>
      </w:r>
      <w:r>
        <w:rPr>
          <w:rFonts w:asciiTheme="minorHAnsi" w:hAnsiTheme="minorHAnsi"/>
        </w:rPr>
        <w:t xml:space="preserve">: A page dedicated for current working groups is under construction and will be used to provide updates on </w:t>
      </w:r>
      <w:r w:rsidR="00192AD3">
        <w:rPr>
          <w:rFonts w:asciiTheme="minorHAnsi" w:hAnsiTheme="minorHAnsi"/>
        </w:rPr>
        <w:t>ongoing</w:t>
      </w:r>
      <w:r>
        <w:rPr>
          <w:rFonts w:asciiTheme="minorHAnsi" w:hAnsiTheme="minorHAnsi"/>
        </w:rPr>
        <w:t xml:space="preserve"> work. </w:t>
      </w:r>
    </w:p>
    <w:p w:rsidR="00F53AD1" w:rsidRDefault="00F53AD1" w:rsidP="0074062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192AD3">
        <w:rPr>
          <w:rFonts w:asciiTheme="minorHAnsi" w:hAnsiTheme="minorHAnsi"/>
          <w:b/>
        </w:rPr>
        <w:t>Twitter widget</w:t>
      </w:r>
      <w:r>
        <w:rPr>
          <w:rFonts w:asciiTheme="minorHAnsi" w:hAnsiTheme="minorHAnsi"/>
        </w:rPr>
        <w:t>: A twitter widget publicise the Conference’s twitter account</w:t>
      </w:r>
      <w:r w:rsidR="00192AD3">
        <w:rPr>
          <w:rFonts w:asciiTheme="minorHAnsi" w:hAnsiTheme="minorHAnsi"/>
        </w:rPr>
        <w:t xml:space="preserve"> and gives the website a more dynamic feel</w:t>
      </w:r>
      <w:r>
        <w:rPr>
          <w:rFonts w:asciiTheme="minorHAnsi" w:hAnsiTheme="minorHAnsi"/>
        </w:rPr>
        <w:t xml:space="preserve">. </w:t>
      </w:r>
      <w:r w:rsidR="00192AD3">
        <w:rPr>
          <w:rFonts w:asciiTheme="minorHAnsi" w:hAnsiTheme="minorHAnsi"/>
        </w:rPr>
        <w:t>The widget will also enable</w:t>
      </w:r>
      <w:r>
        <w:rPr>
          <w:rFonts w:asciiTheme="minorHAnsi" w:hAnsiTheme="minorHAnsi"/>
        </w:rPr>
        <w:t xml:space="preserve"> </w:t>
      </w:r>
      <w:r w:rsidR="00192AD3">
        <w:rPr>
          <w:rFonts w:asciiTheme="minorHAnsi" w:hAnsiTheme="minorHAnsi"/>
        </w:rPr>
        <w:t>visitors</w:t>
      </w:r>
      <w:r>
        <w:rPr>
          <w:rFonts w:asciiTheme="minorHAnsi" w:hAnsiTheme="minorHAnsi"/>
        </w:rPr>
        <w:t xml:space="preserve"> </w:t>
      </w:r>
      <w:r w:rsidR="00192AD3">
        <w:rPr>
          <w:rFonts w:asciiTheme="minorHAnsi" w:hAnsiTheme="minorHAnsi"/>
        </w:rPr>
        <w:t xml:space="preserve">easily </w:t>
      </w:r>
      <w:r>
        <w:rPr>
          <w:rFonts w:asciiTheme="minorHAnsi" w:hAnsiTheme="minorHAnsi"/>
        </w:rPr>
        <w:t xml:space="preserve">to </w:t>
      </w:r>
      <w:proofErr w:type="spellStart"/>
      <w:proofErr w:type="gramStart"/>
      <w:r w:rsidR="00192AD3">
        <w:rPr>
          <w:rFonts w:asciiTheme="minorHAnsi" w:hAnsiTheme="minorHAnsi"/>
        </w:rPr>
        <w:t>chose</w:t>
      </w:r>
      <w:proofErr w:type="spellEnd"/>
      <w:proofErr w:type="gramEnd"/>
      <w:r w:rsidR="00192AD3">
        <w:rPr>
          <w:rFonts w:asciiTheme="minorHAnsi" w:hAnsiTheme="minorHAnsi"/>
        </w:rPr>
        <w:t xml:space="preserve"> to </w:t>
      </w:r>
      <w:r>
        <w:rPr>
          <w:rFonts w:asciiTheme="minorHAnsi" w:hAnsiTheme="minorHAnsi"/>
        </w:rPr>
        <w:t xml:space="preserve">follow </w:t>
      </w:r>
      <w:r w:rsidR="00192AD3">
        <w:rPr>
          <w:rFonts w:asciiTheme="minorHAnsi" w:hAnsiTheme="minorHAnsi"/>
        </w:rPr>
        <w:t>our</w:t>
      </w:r>
      <w:r>
        <w:rPr>
          <w:rFonts w:asciiTheme="minorHAnsi" w:hAnsiTheme="minorHAnsi"/>
        </w:rPr>
        <w:t xml:space="preserve"> Twitter account.  </w:t>
      </w:r>
    </w:p>
    <w:p w:rsidR="00900199" w:rsidRDefault="0074062B" w:rsidP="0074062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192AD3">
        <w:rPr>
          <w:rFonts w:asciiTheme="minorHAnsi" w:hAnsiTheme="minorHAnsi"/>
          <w:b/>
        </w:rPr>
        <w:t xml:space="preserve">Presentations </w:t>
      </w:r>
      <w:r w:rsidR="00192AD3" w:rsidRPr="00192AD3">
        <w:rPr>
          <w:rFonts w:asciiTheme="minorHAnsi" w:hAnsiTheme="minorHAnsi"/>
          <w:b/>
        </w:rPr>
        <w:t>to</w:t>
      </w:r>
      <w:r w:rsidRPr="00192AD3">
        <w:rPr>
          <w:rFonts w:asciiTheme="minorHAnsi" w:hAnsiTheme="minorHAnsi"/>
          <w:b/>
        </w:rPr>
        <w:t xml:space="preserve"> 37</w:t>
      </w:r>
      <w:r w:rsidRPr="00192AD3">
        <w:rPr>
          <w:rFonts w:asciiTheme="minorHAnsi" w:hAnsiTheme="minorHAnsi"/>
          <w:b/>
          <w:vertAlign w:val="superscript"/>
        </w:rPr>
        <w:t>th</w:t>
      </w:r>
      <w:r w:rsidRPr="00192AD3">
        <w:rPr>
          <w:rFonts w:asciiTheme="minorHAnsi" w:hAnsiTheme="minorHAnsi"/>
          <w:b/>
        </w:rPr>
        <w:t xml:space="preserve"> Conference closed session:</w:t>
      </w:r>
      <w:r>
        <w:rPr>
          <w:rFonts w:asciiTheme="minorHAnsi" w:hAnsiTheme="minorHAnsi"/>
        </w:rPr>
        <w:t xml:space="preserve"> </w:t>
      </w:r>
      <w:r w:rsidR="00192AD3">
        <w:rPr>
          <w:rFonts w:asciiTheme="minorHAnsi" w:hAnsiTheme="minorHAnsi"/>
        </w:rPr>
        <w:t>Further p</w:t>
      </w:r>
      <w:r>
        <w:rPr>
          <w:rFonts w:asciiTheme="minorHAnsi" w:hAnsiTheme="minorHAnsi"/>
        </w:rPr>
        <w:t xml:space="preserve">resentations by </w:t>
      </w:r>
      <w:r w:rsidR="00192AD3">
        <w:rPr>
          <w:rFonts w:asciiTheme="minorHAnsi" w:hAnsiTheme="minorHAnsi"/>
        </w:rPr>
        <w:t xml:space="preserve">closed session </w:t>
      </w:r>
      <w:r>
        <w:rPr>
          <w:rFonts w:asciiTheme="minorHAnsi" w:hAnsiTheme="minorHAnsi"/>
        </w:rPr>
        <w:t xml:space="preserve">speakers have been uploaded. </w:t>
      </w:r>
    </w:p>
    <w:p w:rsidR="00C12749" w:rsidRDefault="00C12749" w:rsidP="0074062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192AD3">
        <w:rPr>
          <w:rFonts w:asciiTheme="minorHAnsi" w:hAnsiTheme="minorHAnsi"/>
          <w:b/>
        </w:rPr>
        <w:t>News releases:</w:t>
      </w:r>
      <w:r>
        <w:rPr>
          <w:rFonts w:asciiTheme="minorHAnsi" w:hAnsiTheme="minorHAnsi"/>
        </w:rPr>
        <w:t xml:space="preserve"> The Chair’s news release to mark Data Protection Day </w:t>
      </w:r>
      <w:r w:rsidR="00192AD3">
        <w:rPr>
          <w:rFonts w:asciiTheme="minorHAnsi" w:hAnsiTheme="minorHAnsi"/>
        </w:rPr>
        <w:t>has been</w:t>
      </w:r>
      <w:r>
        <w:rPr>
          <w:rFonts w:asciiTheme="minorHAnsi" w:hAnsiTheme="minorHAnsi"/>
        </w:rPr>
        <w:t xml:space="preserve"> uploaded</w:t>
      </w:r>
      <w:r w:rsidR="00192AD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74062B" w:rsidRDefault="0074062B" w:rsidP="0074062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</w:rPr>
      </w:pPr>
      <w:r w:rsidRPr="00192AD3">
        <w:rPr>
          <w:rFonts w:asciiTheme="minorHAnsi" w:hAnsiTheme="minorHAnsi"/>
          <w:b/>
        </w:rPr>
        <w:t>Annual reports:</w:t>
      </w:r>
      <w:r>
        <w:rPr>
          <w:rFonts w:asciiTheme="minorHAnsi" w:hAnsiTheme="minorHAnsi"/>
        </w:rPr>
        <w:t xml:space="preserve"> </w:t>
      </w:r>
      <w:r w:rsidR="00192AD3">
        <w:rPr>
          <w:rFonts w:asciiTheme="minorHAnsi" w:hAnsiTheme="minorHAnsi"/>
        </w:rPr>
        <w:t>ExCo</w:t>
      </w:r>
      <w:r>
        <w:rPr>
          <w:rFonts w:asciiTheme="minorHAnsi" w:hAnsiTheme="minorHAnsi"/>
        </w:rPr>
        <w:t xml:space="preserve"> annual reports 2011</w:t>
      </w:r>
      <w:r w:rsidR="00192AD3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2015 </w:t>
      </w:r>
      <w:r w:rsidR="00192AD3">
        <w:rPr>
          <w:rFonts w:asciiTheme="minorHAnsi" w:hAnsiTheme="minorHAnsi"/>
        </w:rPr>
        <w:t>are now all</w:t>
      </w:r>
      <w:r>
        <w:rPr>
          <w:rFonts w:asciiTheme="minorHAnsi" w:hAnsiTheme="minorHAnsi"/>
        </w:rPr>
        <w:t xml:space="preserve"> uploaded. </w:t>
      </w:r>
    </w:p>
    <w:p w:rsidR="0054555D" w:rsidRPr="0054555D" w:rsidRDefault="0054555D" w:rsidP="00F53AD1">
      <w:pPr>
        <w:jc w:val="both"/>
        <w:rPr>
          <w:rFonts w:asciiTheme="minorHAnsi" w:hAnsiTheme="minorHAnsi"/>
          <w:b/>
        </w:rPr>
      </w:pPr>
      <w:r w:rsidRPr="0054555D">
        <w:rPr>
          <w:rFonts w:asciiTheme="minorHAnsi" w:hAnsiTheme="minorHAnsi"/>
          <w:b/>
        </w:rPr>
        <w:t>Twitter</w:t>
      </w:r>
    </w:p>
    <w:p w:rsidR="0054555D" w:rsidRDefault="0054555D" w:rsidP="00F53AD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Secretariat launched a Twitter account </w:t>
      </w:r>
      <w:r w:rsidR="003107D4">
        <w:rPr>
          <w:rFonts w:asciiTheme="minorHAnsi" w:hAnsiTheme="minorHAnsi"/>
        </w:rPr>
        <w:t>on 27 January coinciding with Data Protection Day</w:t>
      </w:r>
      <w:r>
        <w:rPr>
          <w:rFonts w:asciiTheme="minorHAnsi" w:hAnsiTheme="minorHAnsi"/>
        </w:rPr>
        <w:t xml:space="preserve">. </w:t>
      </w:r>
      <w:r w:rsidR="003107D4">
        <w:rPr>
          <w:rFonts w:asciiTheme="minorHAnsi" w:hAnsiTheme="minorHAnsi"/>
        </w:rPr>
        <w:t>A policy describing the Secretariat’s approach was earlier circulated to the Committee. In the last 6 weeks:</w:t>
      </w:r>
      <w:r>
        <w:rPr>
          <w:rFonts w:asciiTheme="minorHAnsi" w:hAnsiTheme="minorHAnsi"/>
        </w:rPr>
        <w:t xml:space="preserve"> </w:t>
      </w:r>
    </w:p>
    <w:p w:rsidR="0054555D" w:rsidRDefault="003107D4" w:rsidP="003107D4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Twitter account has gained </w:t>
      </w:r>
      <w:r w:rsidR="0054555D">
        <w:rPr>
          <w:rFonts w:asciiTheme="minorHAnsi" w:hAnsiTheme="minorHAnsi"/>
        </w:rPr>
        <w:t>62 followers</w:t>
      </w:r>
    </w:p>
    <w:p w:rsidR="003107D4" w:rsidRDefault="003107D4" w:rsidP="0054555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Secretariat has t</w:t>
      </w:r>
      <w:r w:rsidR="0054555D">
        <w:rPr>
          <w:rFonts w:asciiTheme="minorHAnsi" w:hAnsiTheme="minorHAnsi"/>
        </w:rPr>
        <w:t>weeted 231 times</w:t>
      </w:r>
    </w:p>
    <w:p w:rsidR="003107D4" w:rsidRDefault="003107D4" w:rsidP="0054555D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</w:t>
      </w:r>
      <w:proofErr w:type="gramEnd"/>
      <w:r>
        <w:rPr>
          <w:rFonts w:asciiTheme="minorHAnsi" w:hAnsiTheme="minorHAnsi"/>
        </w:rPr>
        <w:t xml:space="preserve"> list of member authorities’ twitter accounts has been created.</w:t>
      </w:r>
    </w:p>
    <w:p w:rsidR="003107D4" w:rsidRDefault="003107D4" w:rsidP="003107D4">
      <w:pPr>
        <w:pStyle w:val="ListParagraph"/>
        <w:jc w:val="both"/>
        <w:rPr>
          <w:rFonts w:asciiTheme="minorHAnsi" w:hAnsiTheme="minorHAnsi"/>
        </w:rPr>
      </w:pPr>
    </w:p>
    <w:p w:rsidR="00F53AD1" w:rsidRPr="00F53AD1" w:rsidRDefault="00F53AD1" w:rsidP="00F53AD1">
      <w:pPr>
        <w:jc w:val="both"/>
        <w:rPr>
          <w:rFonts w:asciiTheme="minorHAnsi" w:hAnsiTheme="minorHAnsi"/>
          <w:b/>
        </w:rPr>
      </w:pPr>
      <w:r w:rsidRPr="00F53AD1">
        <w:rPr>
          <w:rFonts w:asciiTheme="minorHAnsi" w:hAnsiTheme="minorHAnsi"/>
          <w:b/>
        </w:rPr>
        <w:t xml:space="preserve">Website analytics </w:t>
      </w:r>
    </w:p>
    <w:p w:rsidR="00F25AFF" w:rsidRDefault="00C12749" w:rsidP="00F25AF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Since the last report on website analytics</w:t>
      </w:r>
      <w:r w:rsidR="00F25AFF">
        <w:rPr>
          <w:rFonts w:asciiTheme="minorHAnsi" w:hAnsiTheme="minorHAnsi"/>
        </w:rPr>
        <w:t xml:space="preserve"> in December 2015</w:t>
      </w:r>
      <w:r>
        <w:rPr>
          <w:rFonts w:asciiTheme="minorHAnsi" w:hAnsiTheme="minorHAnsi"/>
        </w:rPr>
        <w:t xml:space="preserve"> the Secretariat reports on website analytics </w:t>
      </w:r>
      <w:r w:rsidR="00F25AFF">
        <w:rPr>
          <w:rFonts w:asciiTheme="minorHAnsi" w:hAnsiTheme="minorHAnsi"/>
        </w:rPr>
        <w:t>from the period ranging 4 December 2015 – 1 March 2016.</w:t>
      </w:r>
    </w:p>
    <w:p w:rsidR="00F25AFF" w:rsidRDefault="00F25AFF" w:rsidP="00F25AFF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E9"/>
      </w:r>
      <w:r>
        <w:rPr>
          <w:rFonts w:asciiTheme="minorHAnsi" w:hAnsiTheme="minorHAnsi"/>
        </w:rPr>
        <w:t xml:space="preserve"> Continuous increase in the number of users visiting the website </w:t>
      </w:r>
    </w:p>
    <w:p w:rsidR="00F25AFF" w:rsidRDefault="00B872E5" w:rsidP="00F25AFF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Top page views are events calendar, adopted resolutions, next conference updates</w:t>
      </w:r>
    </w:p>
    <w:p w:rsidR="00A33C77" w:rsidRDefault="00A33C77" w:rsidP="00A33C77">
      <w:pPr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</w:t>
      </w:r>
      <w:r w:rsidR="003107D4" w:rsidRPr="003107D4">
        <w:rPr>
          <w:rFonts w:asciiTheme="minorHAnsi" w:hAnsiTheme="minorHAnsi"/>
        </w:rPr>
        <w:t xml:space="preserve">the </w:t>
      </w:r>
      <w:r w:rsidR="003107D4">
        <w:rPr>
          <w:rFonts w:asciiTheme="minorHAnsi" w:hAnsiTheme="minorHAnsi"/>
        </w:rPr>
        <w:t>‘</w:t>
      </w:r>
      <w:r w:rsidR="003107D4" w:rsidRPr="003107D4">
        <w:rPr>
          <w:rFonts w:asciiTheme="minorHAnsi" w:hAnsiTheme="minorHAnsi"/>
        </w:rPr>
        <w:t>next conference updates</w:t>
      </w:r>
      <w:r w:rsidR="003107D4">
        <w:rPr>
          <w:rFonts w:asciiTheme="minorHAnsi" w:hAnsiTheme="minorHAnsi"/>
        </w:rPr>
        <w:t>’</w:t>
      </w:r>
      <w:r w:rsidR="003107D4" w:rsidRPr="003107D4">
        <w:rPr>
          <w:rFonts w:asciiTheme="minorHAnsi" w:hAnsiTheme="minorHAnsi"/>
        </w:rPr>
        <w:t xml:space="preserve"> page </w:t>
      </w:r>
      <w:r w:rsidR="003107D4">
        <w:rPr>
          <w:rFonts w:asciiTheme="minorHAnsi" w:hAnsiTheme="minorHAnsi"/>
        </w:rPr>
        <w:t xml:space="preserve">is </w:t>
      </w:r>
      <w:r>
        <w:rPr>
          <w:rFonts w:asciiTheme="minorHAnsi" w:hAnsiTheme="minorHAnsi"/>
        </w:rPr>
        <w:t xml:space="preserve">one of the top three page </w:t>
      </w:r>
      <w:r w:rsidR="003107D4">
        <w:rPr>
          <w:rFonts w:asciiTheme="minorHAnsi" w:hAnsiTheme="minorHAnsi"/>
        </w:rPr>
        <w:t xml:space="preserve">visited, </w:t>
      </w:r>
      <w:r>
        <w:rPr>
          <w:rFonts w:asciiTheme="minorHAnsi" w:hAnsiTheme="minorHAnsi"/>
        </w:rPr>
        <w:t>the Secretariat recommends that the host of the 38</w:t>
      </w:r>
      <w:r w:rsidRPr="00A33C77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Conference collaborate </w:t>
      </w:r>
      <w:r w:rsidR="003107D4">
        <w:rPr>
          <w:rFonts w:asciiTheme="minorHAnsi" w:hAnsiTheme="minorHAnsi"/>
        </w:rPr>
        <w:t>with the Secretariat</w:t>
      </w:r>
      <w:r>
        <w:rPr>
          <w:rFonts w:asciiTheme="minorHAnsi" w:hAnsiTheme="minorHAnsi"/>
        </w:rPr>
        <w:t xml:space="preserve"> to </w:t>
      </w:r>
      <w:r w:rsidR="003107D4">
        <w:rPr>
          <w:rFonts w:asciiTheme="minorHAnsi" w:hAnsiTheme="minorHAnsi"/>
        </w:rPr>
        <w:t>continue to update and refresh that page periodically pending launch of the website for the Morocco conference</w:t>
      </w:r>
      <w:r>
        <w:rPr>
          <w:rFonts w:asciiTheme="minorHAnsi" w:hAnsiTheme="minorHAnsi"/>
        </w:rPr>
        <w:t xml:space="preserve">. </w:t>
      </w:r>
    </w:p>
    <w:p w:rsidR="00A33C77" w:rsidRPr="00A33C77" w:rsidRDefault="00A33C77" w:rsidP="00A33C77">
      <w:pPr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diagram below shows the visits from 4 December 2015 – 1 March 2016. </w:t>
      </w:r>
    </w:p>
    <w:p w:rsidR="00B872E5" w:rsidRPr="00F25AFF" w:rsidRDefault="00A33C77" w:rsidP="00A33C77">
      <w:pPr>
        <w:pStyle w:val="ListParagraph"/>
        <w:ind w:left="142"/>
        <w:jc w:val="both"/>
        <w:rPr>
          <w:rFonts w:asciiTheme="minorHAnsi" w:hAnsiTheme="minorHAnsi"/>
        </w:rPr>
      </w:pPr>
      <w:r>
        <w:rPr>
          <w:noProof/>
          <w:lang w:eastAsia="en-NZ"/>
        </w:rPr>
        <w:drawing>
          <wp:inline distT="0" distB="0" distL="0" distR="0" wp14:anchorId="1648FEA7" wp14:editId="75EAC09A">
            <wp:extent cx="5731510" cy="195275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199" w:rsidRDefault="00900199" w:rsidP="00F25AF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F52C4">
        <w:rPr>
          <w:rFonts w:asciiTheme="minorHAnsi" w:hAnsiTheme="minorHAnsi"/>
        </w:rPr>
        <w:t>Visitor map since last conference in October 2015</w:t>
      </w:r>
      <w:bookmarkStart w:id="0" w:name="_GoBack"/>
      <w:bookmarkEnd w:id="0"/>
    </w:p>
    <w:p w:rsidR="007F52C4" w:rsidRPr="00900199" w:rsidRDefault="007F52C4" w:rsidP="00F25AFF">
      <w:pPr>
        <w:jc w:val="both"/>
        <w:rPr>
          <w:rFonts w:asciiTheme="minorHAnsi" w:hAnsiTheme="minorHAnsi"/>
        </w:rPr>
      </w:pPr>
      <w:r>
        <w:rPr>
          <w:noProof/>
          <w:lang w:eastAsia="en-NZ"/>
        </w:rPr>
        <w:drawing>
          <wp:inline distT="0" distB="0" distL="0" distR="0" wp14:anchorId="1383DEEC" wp14:editId="450BD256">
            <wp:extent cx="2647950" cy="23122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0022" cy="231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52C4">
        <w:rPr>
          <w:noProof/>
          <w:lang w:eastAsia="en-NZ"/>
        </w:rPr>
        <w:t xml:space="preserve"> </w:t>
      </w:r>
      <w:r>
        <w:rPr>
          <w:noProof/>
          <w:lang w:eastAsia="en-NZ"/>
        </w:rPr>
        <w:drawing>
          <wp:inline distT="0" distB="0" distL="0" distR="0" wp14:anchorId="26CF073C" wp14:editId="3485D4A3">
            <wp:extent cx="2775975" cy="2314533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0160" cy="231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2C4" w:rsidRPr="0090019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83" w:rsidRDefault="003B0C83" w:rsidP="00900199">
      <w:pPr>
        <w:spacing w:after="0" w:line="240" w:lineRule="auto"/>
      </w:pPr>
      <w:r>
        <w:separator/>
      </w:r>
    </w:p>
  </w:endnote>
  <w:endnote w:type="continuationSeparator" w:id="0">
    <w:p w:rsidR="003B0C83" w:rsidRDefault="003B0C83" w:rsidP="0090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83" w:rsidRDefault="003B0C83" w:rsidP="00900199">
      <w:pPr>
        <w:spacing w:after="0" w:line="240" w:lineRule="auto"/>
      </w:pPr>
      <w:r>
        <w:separator/>
      </w:r>
    </w:p>
  </w:footnote>
  <w:footnote w:type="continuationSeparator" w:id="0">
    <w:p w:rsidR="003B0C83" w:rsidRDefault="003B0C83" w:rsidP="0090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99" w:rsidRPr="00900199" w:rsidRDefault="00900199" w:rsidP="00900199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 xml:space="preserve">ICDPPC Meeting paper for 14/15 March 2016: </w:t>
    </w:r>
    <w:r w:rsidR="0058403C">
      <w:rPr>
        <w:rFonts w:asciiTheme="minorHAnsi" w:hAnsiTheme="minorHAnsi"/>
      </w:rPr>
      <w:t>Agenda item 8</w:t>
    </w:r>
    <w:r w:rsidRPr="00900199">
      <w:rPr>
        <w:rFonts w:asciiTheme="minorHAnsi" w:hAnsiTheme="minorHAnsi"/>
      </w:rPr>
      <w:t xml:space="preserve">: </w:t>
    </w:r>
    <w:r w:rsidR="0058403C">
      <w:rPr>
        <w:rFonts w:asciiTheme="minorHAnsi" w:hAnsiTheme="minorHAnsi"/>
      </w:rPr>
      <w:t>Communications</w:t>
    </w:r>
    <w:r w:rsidRPr="00900199"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DE7"/>
    <w:multiLevelType w:val="hybridMultilevel"/>
    <w:tmpl w:val="65B09C5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85899"/>
    <w:multiLevelType w:val="hybridMultilevel"/>
    <w:tmpl w:val="62ACE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21633"/>
    <w:multiLevelType w:val="hybridMultilevel"/>
    <w:tmpl w:val="BCDCBE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99"/>
    <w:rsid w:val="00192AD3"/>
    <w:rsid w:val="0023499A"/>
    <w:rsid w:val="003107D4"/>
    <w:rsid w:val="003B0C83"/>
    <w:rsid w:val="003D7432"/>
    <w:rsid w:val="003D76CE"/>
    <w:rsid w:val="004019D5"/>
    <w:rsid w:val="004517C1"/>
    <w:rsid w:val="0054555D"/>
    <w:rsid w:val="0058403C"/>
    <w:rsid w:val="005C6E5F"/>
    <w:rsid w:val="00635F94"/>
    <w:rsid w:val="00680F2F"/>
    <w:rsid w:val="0074062B"/>
    <w:rsid w:val="007F2355"/>
    <w:rsid w:val="007F52C4"/>
    <w:rsid w:val="00900199"/>
    <w:rsid w:val="00916AC1"/>
    <w:rsid w:val="00986E50"/>
    <w:rsid w:val="00A33C77"/>
    <w:rsid w:val="00B872E5"/>
    <w:rsid w:val="00C12749"/>
    <w:rsid w:val="00DF70ED"/>
    <w:rsid w:val="00ED3E05"/>
    <w:rsid w:val="00F25AFF"/>
    <w:rsid w:val="00F5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1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99"/>
  </w:style>
  <w:style w:type="paragraph" w:styleId="Footer">
    <w:name w:val="footer"/>
    <w:basedOn w:val="Normal"/>
    <w:link w:val="FooterChar"/>
    <w:uiPriority w:val="99"/>
    <w:unhideWhenUsed/>
    <w:rsid w:val="0090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99"/>
  </w:style>
  <w:style w:type="table" w:styleId="TableGrid">
    <w:name w:val="Table Grid"/>
    <w:basedOn w:val="TableNormal"/>
    <w:uiPriority w:val="59"/>
    <w:rsid w:val="0090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1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1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99"/>
  </w:style>
  <w:style w:type="paragraph" w:styleId="Footer">
    <w:name w:val="footer"/>
    <w:basedOn w:val="Normal"/>
    <w:link w:val="FooterChar"/>
    <w:uiPriority w:val="99"/>
    <w:unhideWhenUsed/>
    <w:rsid w:val="0090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99"/>
  </w:style>
  <w:style w:type="table" w:styleId="TableGrid">
    <w:name w:val="Table Grid"/>
    <w:basedOn w:val="TableNormal"/>
    <w:uiPriority w:val="59"/>
    <w:rsid w:val="0090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1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Vida</dc:creator>
  <cp:lastModifiedBy>Blair Stewart</cp:lastModifiedBy>
  <cp:revision>6</cp:revision>
  <cp:lastPrinted>2016-03-01T00:48:00Z</cp:lastPrinted>
  <dcterms:created xsi:type="dcterms:W3CDTF">2016-03-01T00:01:00Z</dcterms:created>
  <dcterms:modified xsi:type="dcterms:W3CDTF">2016-03-01T03:58:00Z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A431588</vt:lpwstr>
  </property>
  <property fmtid="{D5CDD505-2E9C-101B-9397-08002B2CF9AE}" pid="4" name="Objective-Title">
    <vt:lpwstr>Item 8b&amp;c: Communications</vt:lpwstr>
  </property>
  <property fmtid="{D5CDD505-2E9C-101B-9397-08002B2CF9AE}" pid="5" name="Objective-Comment">
    <vt:lpwstr/>
  </property>
  <property fmtid="{D5CDD505-2E9C-101B-9397-08002B2CF9AE}" pid="6" name="Objective-CreationStamp">
    <vt:filetime>2016-03-01T03:58:53Z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2016-03-02T21:38:00Z</vt:filetime>
  </property>
  <property fmtid="{D5CDD505-2E9C-101B-9397-08002B2CF9AE}" pid="10" name="Objective-ModificationStamp">
    <vt:filetime>2016-03-02T23:26:15Z</vt:filetime>
  </property>
  <property fmtid="{D5CDD505-2E9C-101B-9397-08002B2CF9AE}" pid="11" name="Objective-Owner">
    <vt:lpwstr>Vanya Vida</vt:lpwstr>
  </property>
  <property fmtid="{D5CDD505-2E9C-101B-9397-08002B2CF9AE}" pid="12" name="Objective-Path">
    <vt:lpwstr>OPC Global Folder:File Plan:International:International Conferences:ICDPPC (International Conference of Data Protection and Privacy Commissioners):Executive Committee:Meetings:2016:March:Meeting papers:</vt:lpwstr>
  </property>
  <property fmtid="{D5CDD505-2E9C-101B-9397-08002B2CF9AE}" pid="13" name="Objective-Parent">
    <vt:lpwstr>Meeting papers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I/0444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