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FAF28" w14:textId="1CCDD55F" w:rsidR="00BC0B84" w:rsidRPr="004D358D" w:rsidRDefault="00BC0B84" w:rsidP="004D358D">
      <w:pPr>
        <w:jc w:val="center"/>
        <w:rPr>
          <w:b/>
          <w:sz w:val="28"/>
          <w:szCs w:val="28"/>
        </w:rPr>
      </w:pPr>
      <w:bookmarkStart w:id="0" w:name="_GoBack"/>
      <w:bookmarkEnd w:id="0"/>
      <w:r w:rsidRPr="004D358D">
        <w:rPr>
          <w:b/>
          <w:noProof/>
          <w:sz w:val="28"/>
          <w:szCs w:val="28"/>
          <w:lang w:eastAsia="en-GB"/>
        </w:rPr>
        <w:drawing>
          <wp:anchor distT="0" distB="0" distL="114300" distR="114300" simplePos="0" relativeHeight="251658240" behindDoc="0" locked="0" layoutInCell="1" allowOverlap="1" wp14:anchorId="2B32F2ED" wp14:editId="2950BCAD">
            <wp:simplePos x="0" y="0"/>
            <wp:positionH relativeFrom="margin">
              <wp:align>center</wp:align>
            </wp:positionH>
            <wp:positionV relativeFrom="paragraph">
              <wp:posOffset>0</wp:posOffset>
            </wp:positionV>
            <wp:extent cx="1255779" cy="1246635"/>
            <wp:effectExtent l="0" t="0" r="1905" b="0"/>
            <wp:wrapSquare wrapText="bothSides"/>
            <wp:docPr id="1" name="Picture 1"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A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79" cy="1246635"/>
                    </a:xfrm>
                    <a:prstGeom prst="rect">
                      <a:avLst/>
                    </a:prstGeom>
                  </pic:spPr>
                </pic:pic>
              </a:graphicData>
            </a:graphic>
          </wp:anchor>
        </w:drawing>
      </w:r>
    </w:p>
    <w:p w14:paraId="1F7F4E98" w14:textId="12E32C51" w:rsidR="00BC0B84" w:rsidRPr="004D358D" w:rsidRDefault="00BC0B84" w:rsidP="004D358D">
      <w:pPr>
        <w:jc w:val="center"/>
        <w:rPr>
          <w:b/>
          <w:sz w:val="28"/>
          <w:szCs w:val="28"/>
        </w:rPr>
      </w:pPr>
    </w:p>
    <w:p w14:paraId="3027C81D" w14:textId="1962F65E" w:rsidR="00BC0B84" w:rsidRPr="004D358D" w:rsidRDefault="00BC0B84" w:rsidP="004D358D">
      <w:pPr>
        <w:jc w:val="center"/>
        <w:rPr>
          <w:b/>
          <w:sz w:val="28"/>
          <w:szCs w:val="28"/>
        </w:rPr>
      </w:pPr>
    </w:p>
    <w:p w14:paraId="04922C80" w14:textId="76C1CE63" w:rsidR="00BC0B84" w:rsidRPr="004D358D" w:rsidRDefault="00BC0B84" w:rsidP="004D358D">
      <w:pPr>
        <w:jc w:val="center"/>
        <w:rPr>
          <w:b/>
          <w:sz w:val="28"/>
          <w:szCs w:val="28"/>
        </w:rPr>
      </w:pPr>
    </w:p>
    <w:p w14:paraId="0417AC65" w14:textId="77777777" w:rsidR="00BC0B84" w:rsidRPr="004D358D" w:rsidRDefault="00BC0B84" w:rsidP="004D358D">
      <w:pPr>
        <w:jc w:val="center"/>
        <w:rPr>
          <w:b/>
          <w:sz w:val="28"/>
          <w:szCs w:val="28"/>
        </w:rPr>
      </w:pPr>
    </w:p>
    <w:p w14:paraId="3394FF61" w14:textId="5C7348F0" w:rsidR="003E5566" w:rsidRPr="004D358D" w:rsidRDefault="003E5566" w:rsidP="004D358D">
      <w:pPr>
        <w:jc w:val="center"/>
        <w:rPr>
          <w:b/>
          <w:sz w:val="28"/>
          <w:szCs w:val="28"/>
        </w:rPr>
      </w:pPr>
      <w:r w:rsidRPr="004D358D">
        <w:rPr>
          <w:b/>
          <w:sz w:val="28"/>
          <w:szCs w:val="28"/>
        </w:rPr>
        <w:t>Call for Expression of Interest</w:t>
      </w:r>
      <w:r w:rsidR="00BC0B84" w:rsidRPr="004D358D">
        <w:rPr>
          <w:b/>
          <w:sz w:val="28"/>
          <w:szCs w:val="28"/>
        </w:rPr>
        <w:t xml:space="preserve"> </w:t>
      </w:r>
      <w:r w:rsidRPr="004D358D">
        <w:rPr>
          <w:b/>
          <w:sz w:val="28"/>
          <w:szCs w:val="28"/>
        </w:rPr>
        <w:t>to the GPA Reference</w:t>
      </w:r>
      <w:r w:rsidR="00BC0B84" w:rsidRPr="004D358D">
        <w:rPr>
          <w:b/>
          <w:sz w:val="28"/>
          <w:szCs w:val="28"/>
        </w:rPr>
        <w:t xml:space="preserve"> Panel</w:t>
      </w:r>
    </w:p>
    <w:p w14:paraId="4DC21367" w14:textId="77777777" w:rsidR="007E76A1" w:rsidRPr="004D358D" w:rsidRDefault="007E76A1" w:rsidP="004D358D">
      <w:pPr>
        <w:jc w:val="center"/>
        <w:rPr>
          <w:b/>
          <w:sz w:val="28"/>
          <w:szCs w:val="28"/>
        </w:rPr>
      </w:pPr>
    </w:p>
    <w:p w14:paraId="7615FC55" w14:textId="77777777" w:rsidR="003E5566" w:rsidRPr="004D358D" w:rsidRDefault="003E5566" w:rsidP="004D358D">
      <w:pPr>
        <w:jc w:val="both"/>
        <w:rPr>
          <w:sz w:val="24"/>
          <w:szCs w:val="24"/>
          <w:lang w:val="en"/>
        </w:rPr>
      </w:pPr>
      <w:r w:rsidRPr="004D358D">
        <w:rPr>
          <w:sz w:val="24"/>
          <w:szCs w:val="24"/>
        </w:rPr>
        <w:t xml:space="preserve">The Global Privacy Assembly (hereafter GPA) is a global forum for privacy and data protection authorities seeking to provide leadership at international level </w:t>
      </w:r>
      <w:r w:rsidRPr="004D358D">
        <w:rPr>
          <w:sz w:val="24"/>
          <w:szCs w:val="24"/>
          <w:lang w:val="en"/>
        </w:rPr>
        <w:t xml:space="preserve">through diffusion of knowledge and supportive connections amongst authorities, thereby enabling them to effectively fulfil their mandates – both individually and in concert. </w:t>
      </w:r>
    </w:p>
    <w:p w14:paraId="447E4FC0" w14:textId="2C65AA3C" w:rsidR="003E5566" w:rsidRPr="004D358D" w:rsidRDefault="003E5566" w:rsidP="004D358D">
      <w:pPr>
        <w:jc w:val="both"/>
        <w:rPr>
          <w:sz w:val="24"/>
          <w:szCs w:val="24"/>
          <w:lang w:val="en"/>
        </w:rPr>
      </w:pPr>
      <w:r w:rsidRPr="004D358D">
        <w:rPr>
          <w:sz w:val="24"/>
          <w:szCs w:val="24"/>
          <w:lang w:val="en"/>
        </w:rPr>
        <w:t>Every September or October, the</w:t>
      </w:r>
      <w:r w:rsidR="006035C1" w:rsidRPr="004D358D">
        <w:rPr>
          <w:sz w:val="24"/>
          <w:szCs w:val="24"/>
          <w:lang w:val="en"/>
        </w:rPr>
        <w:t xml:space="preserve"> GPA</w:t>
      </w:r>
      <w:r w:rsidRPr="004D358D">
        <w:rPr>
          <w:sz w:val="24"/>
          <w:szCs w:val="24"/>
          <w:lang w:val="en"/>
        </w:rPr>
        <w:t xml:space="preserve"> holds an Annual Meeting during which independent regulators on privacy and data protection adopt high level resolutions and recommendations addressed to governments and international </w:t>
      </w:r>
      <w:r w:rsidRPr="004D358D">
        <w:rPr>
          <w:sz w:val="24"/>
          <w:szCs w:val="24"/>
        </w:rPr>
        <w:t>organisations</w:t>
      </w:r>
      <w:r w:rsidRPr="004D358D">
        <w:rPr>
          <w:sz w:val="24"/>
          <w:szCs w:val="24"/>
          <w:lang w:val="en"/>
        </w:rPr>
        <w:t xml:space="preserve">. </w:t>
      </w:r>
    </w:p>
    <w:p w14:paraId="3CC650CB" w14:textId="29B0C639" w:rsidR="003E5566" w:rsidRPr="004D358D" w:rsidRDefault="003E5566" w:rsidP="004D358D">
      <w:pPr>
        <w:jc w:val="both"/>
        <w:rPr>
          <w:sz w:val="24"/>
          <w:szCs w:val="24"/>
        </w:rPr>
      </w:pPr>
      <w:r w:rsidRPr="004D358D">
        <w:rPr>
          <w:sz w:val="24"/>
          <w:szCs w:val="24"/>
        </w:rPr>
        <w:t xml:space="preserve">The </w:t>
      </w:r>
      <w:r w:rsidR="00C94421" w:rsidRPr="004D358D">
        <w:rPr>
          <w:sz w:val="24"/>
          <w:szCs w:val="24"/>
        </w:rPr>
        <w:t>GPA</w:t>
      </w:r>
      <w:r w:rsidRPr="004D358D">
        <w:rPr>
          <w:sz w:val="24"/>
          <w:szCs w:val="24"/>
        </w:rPr>
        <w:t xml:space="preserve"> consists of a </w:t>
      </w:r>
      <w:r w:rsidR="001A51ED" w:rsidRPr="004D358D">
        <w:rPr>
          <w:sz w:val="24"/>
          <w:szCs w:val="24"/>
        </w:rPr>
        <w:t>7-member</w:t>
      </w:r>
      <w:r w:rsidRPr="004D358D">
        <w:rPr>
          <w:sz w:val="24"/>
          <w:szCs w:val="24"/>
        </w:rPr>
        <w:t xml:space="preserve"> governance body called the Executive Committee. The Executive Committee comprises five elected members and the host authorities of the previous and next conferences. </w:t>
      </w:r>
    </w:p>
    <w:p w14:paraId="1F163FA2" w14:textId="47BE2D58" w:rsidR="003E5566" w:rsidRPr="004D358D" w:rsidRDefault="003E5566" w:rsidP="004D358D">
      <w:pPr>
        <w:jc w:val="both"/>
        <w:rPr>
          <w:sz w:val="24"/>
          <w:szCs w:val="24"/>
        </w:rPr>
      </w:pPr>
      <w:r w:rsidRPr="004D358D">
        <w:rPr>
          <w:sz w:val="24"/>
          <w:szCs w:val="24"/>
        </w:rPr>
        <w:t>Following a resolution adopted at its 2019 Annual Meeting in Tirana,</w:t>
      </w:r>
      <w:r w:rsidRPr="004D358D">
        <w:rPr>
          <w:rStyle w:val="FootnoteReference"/>
          <w:sz w:val="24"/>
          <w:szCs w:val="24"/>
        </w:rPr>
        <w:footnoteReference w:id="1"/>
      </w:r>
      <w:r w:rsidRPr="004D358D">
        <w:rPr>
          <w:sz w:val="24"/>
          <w:szCs w:val="24"/>
        </w:rPr>
        <w:t xml:space="preserve"> the </w:t>
      </w:r>
      <w:r w:rsidR="00B2092C" w:rsidRPr="004D358D">
        <w:rPr>
          <w:sz w:val="24"/>
          <w:szCs w:val="24"/>
        </w:rPr>
        <w:t>GPA</w:t>
      </w:r>
      <w:r w:rsidRPr="004D358D">
        <w:rPr>
          <w:sz w:val="24"/>
          <w:szCs w:val="24"/>
        </w:rPr>
        <w:t xml:space="preserve"> intends to set up an external, cross-disciplinary Reference Panel comprising of a maximum of 15 </w:t>
      </w:r>
      <w:r w:rsidR="005A2C08" w:rsidRPr="004D358D">
        <w:rPr>
          <w:sz w:val="24"/>
          <w:szCs w:val="24"/>
        </w:rPr>
        <w:t>representatives of relevant civil society organisations, academic institutions, think tanks, non-privacy supervisory authorities, representatives of public authorities such as law enforcement authorities as well as representatives of the private sector</w:t>
      </w:r>
      <w:r w:rsidR="00791FD0" w:rsidRPr="004D358D">
        <w:rPr>
          <w:sz w:val="24"/>
          <w:szCs w:val="24"/>
        </w:rPr>
        <w:t xml:space="preserve"> </w:t>
      </w:r>
      <w:r w:rsidRPr="004D358D">
        <w:rPr>
          <w:sz w:val="24"/>
          <w:szCs w:val="24"/>
        </w:rPr>
        <w:t xml:space="preserve">whose main task will be to provide expert consultation to the </w:t>
      </w:r>
      <w:r w:rsidR="00791FD0" w:rsidRPr="004D358D">
        <w:rPr>
          <w:sz w:val="24"/>
          <w:szCs w:val="24"/>
        </w:rPr>
        <w:t>GPA</w:t>
      </w:r>
      <w:r w:rsidRPr="004D358D">
        <w:rPr>
          <w:sz w:val="24"/>
          <w:szCs w:val="24"/>
        </w:rPr>
        <w:t xml:space="preserve"> and its working groups on an ad hoc basis. Members of the </w:t>
      </w:r>
      <w:r w:rsidR="00A511B5" w:rsidRPr="004D358D">
        <w:rPr>
          <w:sz w:val="24"/>
          <w:szCs w:val="24"/>
        </w:rPr>
        <w:t xml:space="preserve">GPA </w:t>
      </w:r>
      <w:r w:rsidRPr="004D358D">
        <w:rPr>
          <w:sz w:val="24"/>
          <w:szCs w:val="24"/>
        </w:rPr>
        <w:t xml:space="preserve">Reference Panel shall not be remunerated for the services they provide. </w:t>
      </w:r>
    </w:p>
    <w:p w14:paraId="3393F30F" w14:textId="62E1EF26" w:rsidR="003E5566" w:rsidRPr="004D358D" w:rsidRDefault="003E5566" w:rsidP="004D358D">
      <w:pPr>
        <w:jc w:val="both"/>
        <w:rPr>
          <w:lang w:val="en"/>
        </w:rPr>
      </w:pPr>
      <w:r w:rsidRPr="004D358D">
        <w:rPr>
          <w:sz w:val="24"/>
          <w:szCs w:val="24"/>
        </w:rPr>
        <w:t xml:space="preserve">The </w:t>
      </w:r>
      <w:r w:rsidR="00A511B5" w:rsidRPr="004D358D">
        <w:rPr>
          <w:sz w:val="24"/>
          <w:szCs w:val="24"/>
        </w:rPr>
        <w:t>GPA</w:t>
      </w:r>
      <w:r w:rsidRPr="004D358D">
        <w:rPr>
          <w:sz w:val="24"/>
          <w:szCs w:val="24"/>
        </w:rPr>
        <w:t xml:space="preserve"> Reference Panel will work in a transparent manner and in line with the </w:t>
      </w:r>
      <w:r w:rsidR="00FA2314" w:rsidRPr="004D358D">
        <w:rPr>
          <w:sz w:val="24"/>
          <w:szCs w:val="24"/>
        </w:rPr>
        <w:t>GPA</w:t>
      </w:r>
      <w:r w:rsidRPr="004D358D">
        <w:rPr>
          <w:sz w:val="24"/>
          <w:szCs w:val="24"/>
        </w:rPr>
        <w:t xml:space="preserve">’s Vision and Mission (please visit </w:t>
      </w:r>
      <w:hyperlink r:id="rId12" w:history="1">
        <w:r w:rsidR="001D107D" w:rsidRPr="004D358D">
          <w:rPr>
            <w:rStyle w:val="Hyperlink"/>
          </w:rPr>
          <w:t>https://globalprivacyassembly.org/the-assembly-and-executive-committee/strategic-direction-mission-and-vision/</w:t>
        </w:r>
      </w:hyperlink>
      <w:r w:rsidR="001D107D" w:rsidRPr="004D358D">
        <w:t xml:space="preserve"> </w:t>
      </w:r>
      <w:r w:rsidRPr="004D358D">
        <w:rPr>
          <w:sz w:val="24"/>
          <w:szCs w:val="24"/>
        </w:rPr>
        <w:t xml:space="preserve">for more information). In line with the </w:t>
      </w:r>
      <w:r w:rsidR="001D107D" w:rsidRPr="004D358D">
        <w:rPr>
          <w:sz w:val="24"/>
          <w:szCs w:val="24"/>
        </w:rPr>
        <w:t>GPA</w:t>
      </w:r>
      <w:r w:rsidRPr="004D358D">
        <w:rPr>
          <w:sz w:val="24"/>
          <w:szCs w:val="24"/>
        </w:rPr>
        <w:t xml:space="preserve">’s commitment to encouraging cultural, geographic and legal diversity, the </w:t>
      </w:r>
      <w:r w:rsidR="00C43C93" w:rsidRPr="004D358D">
        <w:rPr>
          <w:sz w:val="24"/>
          <w:szCs w:val="24"/>
        </w:rPr>
        <w:t>Assembly</w:t>
      </w:r>
      <w:r w:rsidRPr="004D358D">
        <w:rPr>
          <w:sz w:val="24"/>
          <w:szCs w:val="24"/>
        </w:rPr>
        <w:t xml:space="preserve"> would particularly welcome nominations from underrepresented regions.</w:t>
      </w:r>
      <w:r w:rsidRPr="004D358D">
        <w:rPr>
          <w:rStyle w:val="FootnoteReference"/>
          <w:sz w:val="24"/>
          <w:szCs w:val="24"/>
        </w:rPr>
        <w:footnoteReference w:id="2"/>
      </w:r>
    </w:p>
    <w:p w14:paraId="3B654CD8" w14:textId="08441A16" w:rsidR="00471BDA" w:rsidRPr="004D358D" w:rsidRDefault="00231CE2" w:rsidP="004D358D">
      <w:pPr>
        <w:jc w:val="both"/>
        <w:rPr>
          <w:sz w:val="24"/>
          <w:szCs w:val="24"/>
        </w:rPr>
      </w:pPr>
      <w:r w:rsidRPr="004D358D">
        <w:rPr>
          <w:sz w:val="24"/>
          <w:szCs w:val="24"/>
        </w:rPr>
        <w:t xml:space="preserve">Interested applicants are invited to fill in the </w:t>
      </w:r>
      <w:r w:rsidR="00BE6230" w:rsidRPr="004D358D">
        <w:rPr>
          <w:sz w:val="24"/>
          <w:szCs w:val="24"/>
        </w:rPr>
        <w:t xml:space="preserve">nomination form (Annex I) </w:t>
      </w:r>
      <w:r w:rsidR="006B4C21" w:rsidRPr="004D358D">
        <w:rPr>
          <w:sz w:val="24"/>
          <w:szCs w:val="24"/>
        </w:rPr>
        <w:t xml:space="preserve">which needs to be accompanied by a cover letter </w:t>
      </w:r>
      <w:r w:rsidR="00E73041" w:rsidRPr="004D358D">
        <w:rPr>
          <w:sz w:val="24"/>
          <w:szCs w:val="24"/>
        </w:rPr>
        <w:t xml:space="preserve">clearly </w:t>
      </w:r>
      <w:r w:rsidR="00400DC3" w:rsidRPr="004D358D">
        <w:rPr>
          <w:sz w:val="24"/>
          <w:szCs w:val="24"/>
        </w:rPr>
        <w:t xml:space="preserve">explaining the candidate’s motivation for answering </w:t>
      </w:r>
      <w:r w:rsidR="00400DC3" w:rsidRPr="004D358D">
        <w:rPr>
          <w:sz w:val="24"/>
          <w:szCs w:val="24"/>
        </w:rPr>
        <w:lastRenderedPageBreak/>
        <w:t>the call and the contribution they can bring to the work of the</w:t>
      </w:r>
      <w:r w:rsidR="00471BDA" w:rsidRPr="004D358D">
        <w:rPr>
          <w:sz w:val="24"/>
          <w:szCs w:val="24"/>
        </w:rPr>
        <w:t xml:space="preserve"> GPA. </w:t>
      </w:r>
      <w:r w:rsidR="008133EF" w:rsidRPr="004D358D">
        <w:rPr>
          <w:sz w:val="24"/>
          <w:szCs w:val="24"/>
        </w:rPr>
        <w:t xml:space="preserve">Your cover letter should not be longer than </w:t>
      </w:r>
      <w:r w:rsidR="00CC0D3C" w:rsidRPr="004D358D">
        <w:rPr>
          <w:sz w:val="24"/>
          <w:szCs w:val="24"/>
        </w:rPr>
        <w:t xml:space="preserve">a maximum of </w:t>
      </w:r>
      <w:r w:rsidR="009F1B83" w:rsidRPr="004D358D">
        <w:rPr>
          <w:sz w:val="24"/>
          <w:szCs w:val="24"/>
        </w:rPr>
        <w:t>two A4 sheets of paper</w:t>
      </w:r>
      <w:r w:rsidR="00A33BE1">
        <w:rPr>
          <w:sz w:val="24"/>
          <w:szCs w:val="24"/>
        </w:rPr>
        <w:t xml:space="preserve">, and address the </w:t>
      </w:r>
      <w:r w:rsidR="00A62B40">
        <w:rPr>
          <w:sz w:val="24"/>
          <w:szCs w:val="24"/>
        </w:rPr>
        <w:t>selection</w:t>
      </w:r>
      <w:r w:rsidR="00A33BE1">
        <w:rPr>
          <w:sz w:val="24"/>
          <w:szCs w:val="24"/>
        </w:rPr>
        <w:t xml:space="preserve"> criteria</w:t>
      </w:r>
      <w:r w:rsidR="009F1B83" w:rsidRPr="004D358D">
        <w:rPr>
          <w:sz w:val="24"/>
          <w:szCs w:val="24"/>
        </w:rPr>
        <w:t xml:space="preserve">. </w:t>
      </w:r>
    </w:p>
    <w:p w14:paraId="5E205871" w14:textId="3452DD04" w:rsidR="006643B5" w:rsidRPr="004D358D" w:rsidRDefault="006643B5" w:rsidP="004D358D">
      <w:pPr>
        <w:jc w:val="both"/>
        <w:rPr>
          <w:sz w:val="24"/>
          <w:szCs w:val="24"/>
        </w:rPr>
      </w:pPr>
      <w:r w:rsidRPr="004D358D">
        <w:rPr>
          <w:sz w:val="24"/>
          <w:szCs w:val="24"/>
        </w:rPr>
        <w:t xml:space="preserve">The deadline </w:t>
      </w:r>
      <w:r w:rsidR="00082B36" w:rsidRPr="004D358D">
        <w:rPr>
          <w:sz w:val="24"/>
          <w:szCs w:val="24"/>
        </w:rPr>
        <w:t xml:space="preserve">for submitting your nomination is Friday </w:t>
      </w:r>
      <w:r w:rsidR="00F007A9" w:rsidRPr="004D358D">
        <w:rPr>
          <w:sz w:val="24"/>
          <w:szCs w:val="24"/>
        </w:rPr>
        <w:t xml:space="preserve">19 February </w:t>
      </w:r>
      <w:r w:rsidR="00082B36" w:rsidRPr="004D358D">
        <w:rPr>
          <w:sz w:val="24"/>
          <w:szCs w:val="24"/>
        </w:rPr>
        <w:t>202</w:t>
      </w:r>
      <w:r w:rsidR="00C47BD4" w:rsidRPr="004D358D">
        <w:rPr>
          <w:sz w:val="24"/>
          <w:szCs w:val="24"/>
        </w:rPr>
        <w:t>1</w:t>
      </w:r>
      <w:r w:rsidR="00082B36" w:rsidRPr="004D358D">
        <w:rPr>
          <w:sz w:val="24"/>
          <w:szCs w:val="24"/>
        </w:rPr>
        <w:t xml:space="preserve">. </w:t>
      </w:r>
    </w:p>
    <w:p w14:paraId="18346F59" w14:textId="03EEEC10" w:rsidR="00885B58" w:rsidRPr="004D358D" w:rsidRDefault="00885B58" w:rsidP="004D358D">
      <w:pPr>
        <w:jc w:val="both"/>
        <w:rPr>
          <w:rStyle w:val="Hyperlink"/>
          <w:sz w:val="24"/>
          <w:szCs w:val="24"/>
        </w:rPr>
      </w:pPr>
      <w:r w:rsidRPr="004D358D">
        <w:rPr>
          <w:sz w:val="24"/>
          <w:szCs w:val="24"/>
        </w:rPr>
        <w:t xml:space="preserve">Please return the Call for Interest along with your cover letter to the GPA Secretariat at: </w:t>
      </w:r>
      <w:hyperlink r:id="rId13" w:history="1">
        <w:r w:rsidRPr="004D358D">
          <w:rPr>
            <w:rStyle w:val="Hyperlink"/>
            <w:sz w:val="24"/>
            <w:szCs w:val="24"/>
          </w:rPr>
          <w:t>secretariat@globalprivacyassembly.org</w:t>
        </w:r>
      </w:hyperlink>
      <w:r w:rsidRPr="004D358D">
        <w:rPr>
          <w:rStyle w:val="Hyperlink"/>
          <w:sz w:val="24"/>
          <w:szCs w:val="24"/>
        </w:rPr>
        <w:t xml:space="preserve">. </w:t>
      </w:r>
    </w:p>
    <w:p w14:paraId="2EA06F04" w14:textId="77777777" w:rsidR="00885B58" w:rsidRPr="004D358D" w:rsidRDefault="00885B58" w:rsidP="004D358D">
      <w:pPr>
        <w:jc w:val="both"/>
        <w:rPr>
          <w:sz w:val="24"/>
          <w:szCs w:val="24"/>
        </w:rPr>
      </w:pPr>
      <w:r w:rsidRPr="004D358D">
        <w:rPr>
          <w:sz w:val="24"/>
          <w:szCs w:val="24"/>
        </w:rPr>
        <w:t xml:space="preserve">Please note that late submissions will not be accepted. </w:t>
      </w:r>
    </w:p>
    <w:p w14:paraId="1418EFFA" w14:textId="4CD2A061" w:rsidR="0010738B" w:rsidRPr="004D358D" w:rsidRDefault="007C64C9" w:rsidP="004D358D">
      <w:pPr>
        <w:jc w:val="both"/>
        <w:rPr>
          <w:color w:val="000000"/>
          <w:sz w:val="24"/>
          <w:szCs w:val="24"/>
        </w:rPr>
      </w:pPr>
      <w:r w:rsidRPr="004D358D">
        <w:rPr>
          <w:sz w:val="24"/>
          <w:szCs w:val="24"/>
        </w:rPr>
        <w:t>To</w:t>
      </w:r>
      <w:r w:rsidR="00885B58" w:rsidRPr="004D358D">
        <w:rPr>
          <w:color w:val="000000"/>
          <w:sz w:val="24"/>
          <w:szCs w:val="24"/>
        </w:rPr>
        <w:t xml:space="preserve"> ensure a well-balanced cultural, geographic and legal diversity in the Panel’s composition, the G</w:t>
      </w:r>
      <w:r w:rsidR="008B4CA0" w:rsidRPr="004D358D">
        <w:rPr>
          <w:color w:val="000000"/>
          <w:sz w:val="24"/>
          <w:szCs w:val="24"/>
        </w:rPr>
        <w:t xml:space="preserve">lobal </w:t>
      </w:r>
      <w:r w:rsidR="00885B58" w:rsidRPr="004D358D">
        <w:rPr>
          <w:color w:val="000000"/>
          <w:sz w:val="24"/>
          <w:szCs w:val="24"/>
        </w:rPr>
        <w:t>P</w:t>
      </w:r>
      <w:r w:rsidR="008B4CA0" w:rsidRPr="004D358D">
        <w:rPr>
          <w:color w:val="000000"/>
          <w:sz w:val="24"/>
          <w:szCs w:val="24"/>
        </w:rPr>
        <w:t xml:space="preserve">rivacy </w:t>
      </w:r>
      <w:r w:rsidR="00885B58" w:rsidRPr="004D358D">
        <w:rPr>
          <w:color w:val="000000"/>
          <w:sz w:val="24"/>
          <w:szCs w:val="24"/>
        </w:rPr>
        <w:t>A</w:t>
      </w:r>
      <w:r w:rsidR="008B4CA0" w:rsidRPr="004D358D">
        <w:rPr>
          <w:color w:val="000000"/>
          <w:sz w:val="24"/>
          <w:szCs w:val="24"/>
        </w:rPr>
        <w:t>ssembly</w:t>
      </w:r>
      <w:r w:rsidR="00885B58" w:rsidRPr="004D358D">
        <w:rPr>
          <w:color w:val="000000"/>
          <w:sz w:val="24"/>
          <w:szCs w:val="24"/>
        </w:rPr>
        <w:t xml:space="preserve"> </w:t>
      </w:r>
      <w:r w:rsidR="008B4CA0" w:rsidRPr="004D358D">
        <w:rPr>
          <w:color w:val="000000"/>
          <w:sz w:val="24"/>
          <w:szCs w:val="24"/>
        </w:rPr>
        <w:t xml:space="preserve">has founded an Assessment Group, containing members </w:t>
      </w:r>
      <w:r w:rsidR="00ED4A71" w:rsidRPr="004D358D">
        <w:rPr>
          <w:color w:val="000000"/>
          <w:sz w:val="24"/>
          <w:szCs w:val="24"/>
        </w:rPr>
        <w:t>from a diverse regional background</w:t>
      </w:r>
      <w:r w:rsidR="008B4CA0" w:rsidRPr="004D358D">
        <w:rPr>
          <w:color w:val="000000"/>
          <w:sz w:val="24"/>
          <w:szCs w:val="24"/>
        </w:rPr>
        <w:t xml:space="preserve"> to </w:t>
      </w:r>
      <w:r w:rsidR="00ED4A71" w:rsidRPr="004D358D">
        <w:rPr>
          <w:color w:val="000000"/>
          <w:sz w:val="24"/>
          <w:szCs w:val="24"/>
        </w:rPr>
        <w:t>shortlist candidates</w:t>
      </w:r>
      <w:r w:rsidR="00885B58" w:rsidRPr="004D358D">
        <w:rPr>
          <w:color w:val="000000"/>
          <w:sz w:val="24"/>
          <w:szCs w:val="24"/>
        </w:rPr>
        <w:t xml:space="preserve">. </w:t>
      </w:r>
      <w:r w:rsidR="004D0577" w:rsidRPr="004D358D">
        <w:rPr>
          <w:color w:val="000000"/>
          <w:sz w:val="24"/>
          <w:szCs w:val="24"/>
        </w:rPr>
        <w:t>Applications</w:t>
      </w:r>
      <w:r w:rsidR="00F404D6" w:rsidRPr="004D358D">
        <w:rPr>
          <w:color w:val="000000"/>
          <w:sz w:val="24"/>
          <w:szCs w:val="24"/>
        </w:rPr>
        <w:t xml:space="preserve"> </w:t>
      </w:r>
      <w:r w:rsidR="004D0577" w:rsidRPr="004D358D">
        <w:rPr>
          <w:color w:val="000000"/>
          <w:sz w:val="24"/>
          <w:szCs w:val="24"/>
        </w:rPr>
        <w:t>will therefore be provided to the Assessment Group members</w:t>
      </w:r>
      <w:r w:rsidR="00FE4D4C" w:rsidRPr="004D358D">
        <w:rPr>
          <w:color w:val="000000"/>
          <w:sz w:val="24"/>
          <w:szCs w:val="24"/>
        </w:rPr>
        <w:t xml:space="preserve"> by the GPA Secretariat</w:t>
      </w:r>
      <w:r w:rsidR="004D0577" w:rsidRPr="004D358D">
        <w:rPr>
          <w:color w:val="000000"/>
          <w:sz w:val="24"/>
          <w:szCs w:val="24"/>
        </w:rPr>
        <w:t xml:space="preserve">, </w:t>
      </w:r>
      <w:r w:rsidR="00CE12F3" w:rsidRPr="004D358D">
        <w:rPr>
          <w:color w:val="000000"/>
          <w:sz w:val="24"/>
          <w:szCs w:val="24"/>
        </w:rPr>
        <w:t xml:space="preserve">and </w:t>
      </w:r>
      <w:r w:rsidR="003C5E43" w:rsidRPr="004D358D">
        <w:rPr>
          <w:color w:val="000000"/>
          <w:sz w:val="24"/>
          <w:szCs w:val="24"/>
        </w:rPr>
        <w:t xml:space="preserve">the personal data of applicants, such as </w:t>
      </w:r>
      <w:r w:rsidR="00CE12F3" w:rsidRPr="004D358D">
        <w:rPr>
          <w:color w:val="000000"/>
          <w:sz w:val="24"/>
          <w:szCs w:val="24"/>
        </w:rPr>
        <w:t>name, gender</w:t>
      </w:r>
      <w:r w:rsidR="00CA39CB" w:rsidRPr="004D358D">
        <w:rPr>
          <w:color w:val="000000"/>
          <w:sz w:val="24"/>
          <w:szCs w:val="24"/>
        </w:rPr>
        <w:t xml:space="preserve"> and email address </w:t>
      </w:r>
      <w:r w:rsidR="004D0577" w:rsidRPr="004D358D">
        <w:rPr>
          <w:color w:val="000000"/>
          <w:sz w:val="24"/>
          <w:szCs w:val="24"/>
        </w:rPr>
        <w:t xml:space="preserve">will </w:t>
      </w:r>
      <w:r w:rsidR="00CE12F3" w:rsidRPr="004D358D">
        <w:rPr>
          <w:color w:val="000000"/>
          <w:sz w:val="24"/>
          <w:szCs w:val="24"/>
        </w:rPr>
        <w:t>be transferred</w:t>
      </w:r>
      <w:r w:rsidR="00F404D6" w:rsidRPr="004D358D">
        <w:rPr>
          <w:color w:val="000000"/>
          <w:sz w:val="24"/>
          <w:szCs w:val="24"/>
        </w:rPr>
        <w:t xml:space="preserve"> to the members</w:t>
      </w:r>
      <w:r w:rsidR="003C5E43" w:rsidRPr="004D358D">
        <w:rPr>
          <w:color w:val="000000"/>
          <w:sz w:val="24"/>
          <w:szCs w:val="24"/>
        </w:rPr>
        <w:t xml:space="preserve"> when they assess such applications</w:t>
      </w:r>
      <w:r w:rsidR="004D0577" w:rsidRPr="004D358D">
        <w:rPr>
          <w:color w:val="000000"/>
          <w:sz w:val="24"/>
          <w:szCs w:val="24"/>
        </w:rPr>
        <w:t>.</w:t>
      </w:r>
      <w:r w:rsidR="00F404D6" w:rsidRPr="004D358D">
        <w:rPr>
          <w:color w:val="000000"/>
          <w:sz w:val="24"/>
          <w:szCs w:val="24"/>
        </w:rPr>
        <w:t xml:space="preserve"> </w:t>
      </w:r>
    </w:p>
    <w:p w14:paraId="5BCFC372" w14:textId="7544162D" w:rsidR="00885B58" w:rsidRPr="004D358D" w:rsidRDefault="00F404D6" w:rsidP="004D358D">
      <w:pPr>
        <w:jc w:val="both"/>
        <w:rPr>
          <w:color w:val="000000"/>
          <w:sz w:val="24"/>
          <w:szCs w:val="24"/>
        </w:rPr>
      </w:pPr>
      <w:r w:rsidRPr="004D358D">
        <w:rPr>
          <w:color w:val="000000"/>
          <w:sz w:val="24"/>
          <w:szCs w:val="24"/>
        </w:rPr>
        <w:t xml:space="preserve">By </w:t>
      </w:r>
      <w:r w:rsidR="004D42AD" w:rsidRPr="004D358D">
        <w:rPr>
          <w:color w:val="000000"/>
          <w:sz w:val="24"/>
          <w:szCs w:val="24"/>
        </w:rPr>
        <w:t>submitting</w:t>
      </w:r>
      <w:r w:rsidRPr="004D358D">
        <w:rPr>
          <w:color w:val="000000"/>
          <w:sz w:val="24"/>
          <w:szCs w:val="24"/>
        </w:rPr>
        <w:t xml:space="preserve"> this application, </w:t>
      </w:r>
      <w:r w:rsidR="004D42AD" w:rsidRPr="004D358D">
        <w:rPr>
          <w:color w:val="000000"/>
          <w:sz w:val="24"/>
          <w:szCs w:val="24"/>
        </w:rPr>
        <w:t xml:space="preserve">you consent to </w:t>
      </w:r>
      <w:r w:rsidR="00D568F9" w:rsidRPr="004D358D">
        <w:rPr>
          <w:color w:val="000000"/>
          <w:sz w:val="24"/>
          <w:szCs w:val="24"/>
        </w:rPr>
        <w:t>your personal data being transferred</w:t>
      </w:r>
      <w:r w:rsidR="003C5E43" w:rsidRPr="004D358D">
        <w:rPr>
          <w:color w:val="000000"/>
          <w:sz w:val="24"/>
          <w:szCs w:val="24"/>
        </w:rPr>
        <w:t>.</w:t>
      </w:r>
      <w:r w:rsidR="00D568F9" w:rsidRPr="004D358D">
        <w:rPr>
          <w:color w:val="000000"/>
          <w:sz w:val="24"/>
          <w:szCs w:val="24"/>
        </w:rPr>
        <w:t xml:space="preserve"> </w:t>
      </w:r>
      <w:r w:rsidR="003C5E43" w:rsidRPr="004D358D">
        <w:rPr>
          <w:color w:val="000000"/>
          <w:sz w:val="24"/>
          <w:szCs w:val="24"/>
        </w:rPr>
        <w:t>U</w:t>
      </w:r>
      <w:r w:rsidR="00D568F9" w:rsidRPr="004D358D">
        <w:rPr>
          <w:color w:val="000000"/>
          <w:sz w:val="24"/>
          <w:szCs w:val="24"/>
        </w:rPr>
        <w:t xml:space="preserve">pon completion of the Shortlist, </w:t>
      </w:r>
      <w:r w:rsidR="003C5E43" w:rsidRPr="004D358D">
        <w:rPr>
          <w:color w:val="000000"/>
          <w:sz w:val="24"/>
          <w:szCs w:val="24"/>
        </w:rPr>
        <w:t xml:space="preserve">this data will be deleted, and application forms will only be stored by the Secretariat until the </w:t>
      </w:r>
      <w:r w:rsidR="0010738B" w:rsidRPr="004D358D">
        <w:rPr>
          <w:color w:val="000000"/>
          <w:sz w:val="24"/>
          <w:szCs w:val="24"/>
        </w:rPr>
        <w:t>Reference Panel</w:t>
      </w:r>
      <w:r w:rsidR="00CA72C7" w:rsidRPr="004D358D">
        <w:rPr>
          <w:color w:val="000000"/>
          <w:sz w:val="24"/>
          <w:szCs w:val="24"/>
        </w:rPr>
        <w:t>’</w:t>
      </w:r>
      <w:r w:rsidR="0010738B" w:rsidRPr="004D358D">
        <w:rPr>
          <w:color w:val="000000"/>
          <w:sz w:val="24"/>
          <w:szCs w:val="24"/>
        </w:rPr>
        <w:t xml:space="preserve">s end of term </w:t>
      </w:r>
      <w:r w:rsidR="00CA72C7" w:rsidRPr="004D358D">
        <w:rPr>
          <w:color w:val="000000"/>
          <w:sz w:val="24"/>
          <w:szCs w:val="24"/>
        </w:rPr>
        <w:t xml:space="preserve">foreseen for </w:t>
      </w:r>
      <w:r w:rsidR="0010738B" w:rsidRPr="004D358D">
        <w:rPr>
          <w:color w:val="000000"/>
          <w:sz w:val="24"/>
          <w:szCs w:val="24"/>
        </w:rPr>
        <w:t>December 2022.</w:t>
      </w:r>
    </w:p>
    <w:p w14:paraId="711D8C44" w14:textId="159B87C6" w:rsidR="00233B7B" w:rsidRPr="004D358D" w:rsidRDefault="00233B7B" w:rsidP="004D358D">
      <w:pPr>
        <w:jc w:val="both"/>
        <w:rPr>
          <w:color w:val="000000"/>
          <w:sz w:val="23"/>
          <w:szCs w:val="23"/>
        </w:rPr>
      </w:pPr>
      <w:r w:rsidRPr="004D358D">
        <w:rPr>
          <w:color w:val="000000"/>
          <w:sz w:val="23"/>
          <w:szCs w:val="23"/>
        </w:rPr>
        <w:t>The GPA Secretariat can also be contacted for any queries relating to the process and the GPA Reference Panel</w:t>
      </w:r>
      <w:r w:rsidR="0010738B" w:rsidRPr="004D358D">
        <w:rPr>
          <w:color w:val="000000"/>
          <w:sz w:val="23"/>
          <w:szCs w:val="23"/>
        </w:rPr>
        <w:t xml:space="preserve">, the general GPA Privacy notice can be found </w:t>
      </w:r>
      <w:hyperlink r:id="rId14" w:history="1">
        <w:r w:rsidR="0010738B" w:rsidRPr="004D358D">
          <w:rPr>
            <w:rStyle w:val="Hyperlink"/>
            <w:sz w:val="23"/>
            <w:szCs w:val="23"/>
          </w:rPr>
          <w:t>here</w:t>
        </w:r>
      </w:hyperlink>
      <w:r w:rsidRPr="004D358D">
        <w:rPr>
          <w:color w:val="000000"/>
          <w:sz w:val="23"/>
          <w:szCs w:val="23"/>
        </w:rPr>
        <w:t xml:space="preserve">. </w:t>
      </w:r>
    </w:p>
    <w:p w14:paraId="30C44C1F" w14:textId="69F5AFC7" w:rsidR="003E5566" w:rsidRPr="004D358D" w:rsidRDefault="003E5566" w:rsidP="004D358D">
      <w:pPr>
        <w:jc w:val="both"/>
        <w:rPr>
          <w:sz w:val="24"/>
          <w:szCs w:val="24"/>
        </w:rPr>
      </w:pPr>
      <w:r w:rsidRPr="004D358D">
        <w:rPr>
          <w:sz w:val="24"/>
          <w:szCs w:val="24"/>
        </w:rPr>
        <w:t xml:space="preserve">The </w:t>
      </w:r>
      <w:r w:rsidR="00691AD3" w:rsidRPr="004D358D">
        <w:rPr>
          <w:sz w:val="24"/>
          <w:szCs w:val="24"/>
        </w:rPr>
        <w:t>GPA</w:t>
      </w:r>
      <w:r w:rsidRPr="004D358D">
        <w:rPr>
          <w:sz w:val="24"/>
          <w:szCs w:val="24"/>
        </w:rPr>
        <w:t xml:space="preserve"> will seek to announce the outcome by </w:t>
      </w:r>
      <w:r w:rsidR="00F007A9" w:rsidRPr="004D358D">
        <w:rPr>
          <w:sz w:val="24"/>
          <w:szCs w:val="24"/>
        </w:rPr>
        <w:t xml:space="preserve">April </w:t>
      </w:r>
      <w:r w:rsidRPr="004D358D">
        <w:rPr>
          <w:sz w:val="24"/>
          <w:szCs w:val="24"/>
        </w:rPr>
        <w:t>202</w:t>
      </w:r>
      <w:r w:rsidR="00CA72C7" w:rsidRPr="004D358D">
        <w:rPr>
          <w:sz w:val="24"/>
          <w:szCs w:val="24"/>
        </w:rPr>
        <w:t>1</w:t>
      </w:r>
      <w:r w:rsidRPr="004D358D">
        <w:rPr>
          <w:sz w:val="24"/>
          <w:szCs w:val="24"/>
        </w:rPr>
        <w:t xml:space="preserve">. </w:t>
      </w:r>
    </w:p>
    <w:p w14:paraId="2571D685" w14:textId="1B3F62B8" w:rsidR="00691AD3" w:rsidRPr="004D358D" w:rsidRDefault="00691AD3" w:rsidP="004D358D">
      <w:pPr>
        <w:jc w:val="both"/>
        <w:rPr>
          <w:sz w:val="24"/>
          <w:szCs w:val="24"/>
        </w:rPr>
      </w:pPr>
    </w:p>
    <w:p w14:paraId="69BADB5F" w14:textId="407EC3FF" w:rsidR="00691AD3" w:rsidRPr="004D358D" w:rsidRDefault="00691AD3" w:rsidP="004D358D">
      <w:pPr>
        <w:jc w:val="both"/>
        <w:rPr>
          <w:sz w:val="24"/>
          <w:szCs w:val="24"/>
        </w:rPr>
      </w:pPr>
    </w:p>
    <w:p w14:paraId="5A31EA79" w14:textId="47FCFFD2" w:rsidR="00691AD3" w:rsidRPr="004D358D" w:rsidRDefault="00691AD3" w:rsidP="004D358D">
      <w:pPr>
        <w:jc w:val="both"/>
        <w:rPr>
          <w:sz w:val="24"/>
          <w:szCs w:val="24"/>
        </w:rPr>
      </w:pPr>
    </w:p>
    <w:p w14:paraId="4FEEE94A" w14:textId="1B789919" w:rsidR="00691AD3" w:rsidRPr="004D358D" w:rsidRDefault="00691AD3" w:rsidP="004D358D">
      <w:pPr>
        <w:jc w:val="both"/>
        <w:rPr>
          <w:sz w:val="24"/>
          <w:szCs w:val="24"/>
        </w:rPr>
      </w:pPr>
    </w:p>
    <w:p w14:paraId="7C96060E" w14:textId="22734D36" w:rsidR="00691AD3" w:rsidRPr="004D358D" w:rsidRDefault="00691AD3" w:rsidP="004D358D">
      <w:pPr>
        <w:jc w:val="both"/>
        <w:rPr>
          <w:sz w:val="24"/>
          <w:szCs w:val="24"/>
        </w:rPr>
      </w:pPr>
    </w:p>
    <w:p w14:paraId="3C65C97D" w14:textId="27EF9515" w:rsidR="00691AD3" w:rsidRPr="004D358D" w:rsidRDefault="00691AD3" w:rsidP="004D358D">
      <w:pPr>
        <w:jc w:val="both"/>
        <w:rPr>
          <w:sz w:val="24"/>
          <w:szCs w:val="24"/>
        </w:rPr>
      </w:pPr>
    </w:p>
    <w:p w14:paraId="2D3703D9" w14:textId="329B5EAB" w:rsidR="00691AD3" w:rsidRPr="004D358D" w:rsidRDefault="00691AD3" w:rsidP="004D358D">
      <w:pPr>
        <w:jc w:val="both"/>
        <w:rPr>
          <w:sz w:val="24"/>
          <w:szCs w:val="24"/>
        </w:rPr>
      </w:pPr>
    </w:p>
    <w:p w14:paraId="0D8BA0DD" w14:textId="40A6F07D" w:rsidR="00691AD3" w:rsidRPr="004D358D" w:rsidRDefault="00691AD3" w:rsidP="004D358D">
      <w:pPr>
        <w:jc w:val="both"/>
        <w:rPr>
          <w:sz w:val="24"/>
          <w:szCs w:val="24"/>
        </w:rPr>
      </w:pPr>
    </w:p>
    <w:p w14:paraId="5F64B9B5" w14:textId="36354DD7" w:rsidR="00691AD3" w:rsidRPr="004D358D" w:rsidRDefault="00691AD3" w:rsidP="004D358D">
      <w:pPr>
        <w:jc w:val="both"/>
        <w:rPr>
          <w:sz w:val="24"/>
          <w:szCs w:val="24"/>
        </w:rPr>
      </w:pPr>
    </w:p>
    <w:p w14:paraId="35F7F8F6" w14:textId="0516D6A1" w:rsidR="00691AD3" w:rsidRPr="004D358D" w:rsidRDefault="00691AD3" w:rsidP="004D358D">
      <w:pPr>
        <w:jc w:val="both"/>
        <w:rPr>
          <w:sz w:val="24"/>
          <w:szCs w:val="24"/>
        </w:rPr>
      </w:pPr>
    </w:p>
    <w:p w14:paraId="5834891F" w14:textId="727D51A9" w:rsidR="00691AD3" w:rsidRPr="004D358D" w:rsidRDefault="00691AD3" w:rsidP="004D358D">
      <w:pPr>
        <w:jc w:val="both"/>
        <w:rPr>
          <w:sz w:val="24"/>
          <w:szCs w:val="24"/>
        </w:rPr>
      </w:pPr>
    </w:p>
    <w:p w14:paraId="4CB2B3B5" w14:textId="7EA51592" w:rsidR="00691AD3" w:rsidRPr="004D358D" w:rsidRDefault="00691AD3" w:rsidP="004D358D">
      <w:pPr>
        <w:jc w:val="both"/>
        <w:rPr>
          <w:sz w:val="24"/>
          <w:szCs w:val="24"/>
        </w:rPr>
      </w:pPr>
    </w:p>
    <w:p w14:paraId="1E3974AF" w14:textId="1D3E0DC1" w:rsidR="00691AD3" w:rsidRPr="004D358D" w:rsidRDefault="00691AD3" w:rsidP="004D358D">
      <w:pPr>
        <w:jc w:val="both"/>
        <w:rPr>
          <w:sz w:val="24"/>
          <w:szCs w:val="24"/>
        </w:rPr>
      </w:pPr>
    </w:p>
    <w:p w14:paraId="70A27715" w14:textId="23BF55E5" w:rsidR="00691AD3" w:rsidRPr="004D358D" w:rsidRDefault="00691AD3" w:rsidP="004D358D">
      <w:pPr>
        <w:jc w:val="both"/>
        <w:rPr>
          <w:sz w:val="24"/>
          <w:szCs w:val="24"/>
        </w:rPr>
      </w:pPr>
    </w:p>
    <w:p w14:paraId="7E4EF001" w14:textId="355A50F2" w:rsidR="00691AD3" w:rsidRPr="004D358D" w:rsidRDefault="00691AD3" w:rsidP="004D358D">
      <w:pPr>
        <w:jc w:val="both"/>
        <w:rPr>
          <w:sz w:val="24"/>
          <w:szCs w:val="24"/>
        </w:rPr>
      </w:pPr>
    </w:p>
    <w:p w14:paraId="64E0340C" w14:textId="08398BED" w:rsidR="00691AD3" w:rsidRPr="004D358D" w:rsidRDefault="00691AD3" w:rsidP="004D358D">
      <w:pPr>
        <w:jc w:val="both"/>
        <w:rPr>
          <w:sz w:val="24"/>
          <w:szCs w:val="24"/>
        </w:rPr>
      </w:pPr>
    </w:p>
    <w:p w14:paraId="22B9B53A" w14:textId="1AEC238D" w:rsidR="00691AD3" w:rsidRPr="004D358D" w:rsidRDefault="00691AD3" w:rsidP="004D358D">
      <w:pPr>
        <w:jc w:val="both"/>
        <w:rPr>
          <w:sz w:val="24"/>
          <w:szCs w:val="24"/>
        </w:rPr>
      </w:pPr>
    </w:p>
    <w:p w14:paraId="701C9CA1" w14:textId="14B1C679" w:rsidR="00885B58" w:rsidRPr="004D358D" w:rsidRDefault="00885B58" w:rsidP="004D358D">
      <w:pPr>
        <w:jc w:val="both"/>
        <w:rPr>
          <w:sz w:val="24"/>
          <w:szCs w:val="24"/>
        </w:rPr>
      </w:pPr>
    </w:p>
    <w:p w14:paraId="0317DEB6" w14:textId="77777777" w:rsidR="00885B58" w:rsidRPr="004D358D" w:rsidRDefault="00885B58" w:rsidP="004D358D">
      <w:pPr>
        <w:jc w:val="both"/>
        <w:rPr>
          <w:sz w:val="24"/>
          <w:szCs w:val="24"/>
        </w:rPr>
      </w:pPr>
    </w:p>
    <w:p w14:paraId="0B28FB43" w14:textId="3E3C00D2" w:rsidR="00691AD3" w:rsidRPr="004D358D" w:rsidRDefault="00691AD3" w:rsidP="004D358D">
      <w:pPr>
        <w:jc w:val="both"/>
        <w:rPr>
          <w:sz w:val="24"/>
          <w:szCs w:val="24"/>
        </w:rPr>
      </w:pPr>
    </w:p>
    <w:p w14:paraId="1EF85D12" w14:textId="39173AC7" w:rsidR="00691AD3" w:rsidRPr="004D358D" w:rsidRDefault="00691AD3" w:rsidP="004D358D">
      <w:pPr>
        <w:jc w:val="both"/>
        <w:rPr>
          <w:sz w:val="24"/>
          <w:szCs w:val="24"/>
        </w:rPr>
      </w:pPr>
    </w:p>
    <w:p w14:paraId="75A9090A" w14:textId="259942F4" w:rsidR="003E5566" w:rsidRPr="004D358D" w:rsidRDefault="003E5566" w:rsidP="004D358D">
      <w:pPr>
        <w:pStyle w:val="Heading6"/>
        <w:jc w:val="center"/>
        <w:rPr>
          <w:rFonts w:asciiTheme="minorHAnsi" w:hAnsiTheme="minorHAnsi"/>
          <w:b/>
          <w:color w:val="000000" w:themeColor="text1"/>
          <w:sz w:val="28"/>
          <w:szCs w:val="28"/>
        </w:rPr>
      </w:pPr>
      <w:r w:rsidRPr="004D358D">
        <w:rPr>
          <w:rFonts w:asciiTheme="minorHAnsi" w:hAnsiTheme="minorHAnsi"/>
          <w:b/>
          <w:color w:val="000000" w:themeColor="text1"/>
          <w:sz w:val="28"/>
          <w:szCs w:val="28"/>
        </w:rPr>
        <w:t>Annex I</w:t>
      </w:r>
    </w:p>
    <w:p w14:paraId="03AA4DDB" w14:textId="77777777" w:rsidR="004D0577" w:rsidRPr="004D358D" w:rsidRDefault="004D0577" w:rsidP="004D358D"/>
    <w:p w14:paraId="70CCC548" w14:textId="77777777" w:rsidR="003E5566" w:rsidRPr="004D358D" w:rsidRDefault="003E5566" w:rsidP="004D358D">
      <w:pPr>
        <w:jc w:val="center"/>
        <w:rPr>
          <w:b/>
          <w:sz w:val="28"/>
          <w:szCs w:val="28"/>
        </w:rPr>
      </w:pPr>
      <w:r w:rsidRPr="004D358D">
        <w:rPr>
          <w:b/>
          <w:sz w:val="28"/>
          <w:szCs w:val="28"/>
        </w:rPr>
        <w:t>Guide for Regional Networks and Prospective Candidates</w:t>
      </w:r>
    </w:p>
    <w:p w14:paraId="7AB956B6" w14:textId="3F6761C9" w:rsidR="003E5566" w:rsidRPr="004D358D" w:rsidRDefault="00E35AFC" w:rsidP="004D358D">
      <w:pPr>
        <w:jc w:val="both"/>
        <w:rPr>
          <w:sz w:val="24"/>
          <w:szCs w:val="24"/>
        </w:rPr>
      </w:pPr>
      <w:r w:rsidRPr="004D358D">
        <w:rPr>
          <w:sz w:val="24"/>
          <w:szCs w:val="24"/>
        </w:rPr>
        <w:t xml:space="preserve">Prospective Applicants and the relevant </w:t>
      </w:r>
      <w:r w:rsidR="003E5566" w:rsidRPr="004D358D">
        <w:rPr>
          <w:sz w:val="24"/>
          <w:szCs w:val="24"/>
        </w:rPr>
        <w:t>Regional</w:t>
      </w:r>
      <w:r w:rsidR="00FD15A5" w:rsidRPr="004D358D">
        <w:rPr>
          <w:sz w:val="24"/>
          <w:szCs w:val="24"/>
        </w:rPr>
        <w:t xml:space="preserve"> and Linguistic</w:t>
      </w:r>
      <w:r w:rsidR="003E5566" w:rsidRPr="004D358D">
        <w:rPr>
          <w:sz w:val="24"/>
          <w:szCs w:val="24"/>
        </w:rPr>
        <w:t xml:space="preserve"> Networks are kindly requested to take into consideration the Selection Criteria and Reference Panel’s Deliverables before submitting their nominations for the </w:t>
      </w:r>
      <w:r w:rsidR="0046103F" w:rsidRPr="004D358D">
        <w:rPr>
          <w:sz w:val="24"/>
          <w:szCs w:val="24"/>
        </w:rPr>
        <w:t>GPA</w:t>
      </w:r>
      <w:r w:rsidR="003E5566" w:rsidRPr="004D358D">
        <w:rPr>
          <w:sz w:val="24"/>
          <w:szCs w:val="24"/>
        </w:rPr>
        <w:t xml:space="preserve"> Reference Panel. When submitting your nomination, please ensure to provide the required information as set out in the Nomination Template below.   </w:t>
      </w:r>
    </w:p>
    <w:p w14:paraId="33407230" w14:textId="77777777" w:rsidR="003E5566" w:rsidRPr="004D358D" w:rsidRDefault="003E5566" w:rsidP="004D358D">
      <w:pPr>
        <w:jc w:val="both"/>
        <w:rPr>
          <w:b/>
          <w:sz w:val="28"/>
          <w:szCs w:val="28"/>
        </w:rPr>
      </w:pPr>
      <w:r w:rsidRPr="004D358D">
        <w:rPr>
          <w:b/>
          <w:sz w:val="28"/>
          <w:szCs w:val="28"/>
        </w:rPr>
        <w:t xml:space="preserve">Selection Criteria: </w:t>
      </w:r>
    </w:p>
    <w:p w14:paraId="4A696ED5" w14:textId="2292F7BB" w:rsidR="003E5566" w:rsidRPr="004D358D" w:rsidRDefault="00BC5548" w:rsidP="004D358D">
      <w:pPr>
        <w:jc w:val="both"/>
        <w:rPr>
          <w:b/>
          <w:sz w:val="28"/>
          <w:szCs w:val="28"/>
        </w:rPr>
      </w:pPr>
      <w:r w:rsidRPr="004D358D">
        <w:rPr>
          <w:sz w:val="24"/>
          <w:szCs w:val="24"/>
        </w:rPr>
        <w:t>A</w:t>
      </w:r>
      <w:r w:rsidR="003E5566" w:rsidRPr="004D358D">
        <w:rPr>
          <w:sz w:val="24"/>
          <w:szCs w:val="24"/>
        </w:rPr>
        <w:t xml:space="preserve">pplications </w:t>
      </w:r>
      <w:r w:rsidRPr="004D358D">
        <w:rPr>
          <w:sz w:val="24"/>
          <w:szCs w:val="24"/>
        </w:rPr>
        <w:t xml:space="preserve">will be assessed </w:t>
      </w:r>
      <w:r w:rsidR="003E5566" w:rsidRPr="004D358D">
        <w:rPr>
          <w:sz w:val="24"/>
          <w:szCs w:val="24"/>
        </w:rPr>
        <w:t xml:space="preserve">on the basis of the following selection criteria: </w:t>
      </w:r>
    </w:p>
    <w:p w14:paraId="34E26994" w14:textId="004AD840" w:rsidR="000F4559" w:rsidRPr="00A4412C" w:rsidRDefault="000F4559" w:rsidP="000F4559">
      <w:pPr>
        <w:pStyle w:val="ListParagraph"/>
        <w:numPr>
          <w:ilvl w:val="0"/>
          <w:numId w:val="3"/>
        </w:numPr>
        <w:spacing w:line="276" w:lineRule="auto"/>
        <w:rPr>
          <w:rFonts w:cstheme="minorHAnsi"/>
          <w:sz w:val="24"/>
          <w:szCs w:val="24"/>
        </w:rPr>
      </w:pPr>
      <w:r w:rsidRPr="00416151">
        <w:rPr>
          <w:rFonts w:cstheme="minorHAnsi"/>
          <w:sz w:val="24"/>
          <w:szCs w:val="24"/>
        </w:rPr>
        <w:t xml:space="preserve">independence and impartiality </w:t>
      </w:r>
      <w:r>
        <w:rPr>
          <w:rFonts w:cstheme="minorHAnsi"/>
          <w:sz w:val="24"/>
          <w:szCs w:val="24"/>
        </w:rPr>
        <w:t>(</w:t>
      </w:r>
      <w:r w:rsidRPr="00416151">
        <w:rPr>
          <w:rFonts w:cstheme="minorHAnsi"/>
          <w:sz w:val="24"/>
          <w:szCs w:val="24"/>
        </w:rPr>
        <w:t>i.e. absence of circumstances which would give rise to a conflict of interest and the capacity to represent the common interest and position shared by stakeholders</w:t>
      </w:r>
      <w:r w:rsidR="00A46473">
        <w:rPr>
          <w:rFonts w:cstheme="minorHAnsi"/>
          <w:sz w:val="24"/>
          <w:szCs w:val="24"/>
        </w:rPr>
        <w:t>)</w:t>
      </w:r>
      <w:r>
        <w:rPr>
          <w:rFonts w:cstheme="minorHAnsi"/>
          <w:sz w:val="24"/>
          <w:szCs w:val="24"/>
        </w:rPr>
        <w:t xml:space="preserve">. </w:t>
      </w:r>
    </w:p>
    <w:p w14:paraId="2E1A0904" w14:textId="77777777" w:rsidR="000F4559" w:rsidRPr="00416151" w:rsidRDefault="000F4559" w:rsidP="000F4559">
      <w:pPr>
        <w:pStyle w:val="ListParagraph"/>
        <w:ind w:left="360"/>
        <w:rPr>
          <w:rFonts w:cstheme="minorHAnsi"/>
          <w:sz w:val="24"/>
          <w:szCs w:val="24"/>
        </w:rPr>
      </w:pPr>
    </w:p>
    <w:p w14:paraId="37D8B299" w14:textId="45C2E20B" w:rsidR="000F4559" w:rsidRDefault="00427ED1" w:rsidP="000F4559">
      <w:pPr>
        <w:pStyle w:val="ListParagraph"/>
        <w:numPr>
          <w:ilvl w:val="0"/>
          <w:numId w:val="3"/>
        </w:numPr>
        <w:spacing w:line="276" w:lineRule="auto"/>
        <w:rPr>
          <w:rFonts w:cstheme="minorHAnsi"/>
          <w:sz w:val="24"/>
          <w:szCs w:val="24"/>
        </w:rPr>
      </w:pPr>
      <w:r>
        <w:rPr>
          <w:rFonts w:cstheme="minorHAnsi"/>
          <w:sz w:val="24"/>
          <w:szCs w:val="24"/>
        </w:rPr>
        <w:t>c</w:t>
      </w:r>
      <w:r w:rsidR="000F4559" w:rsidRPr="00416151">
        <w:rPr>
          <w:rFonts w:cstheme="minorHAnsi"/>
          <w:sz w:val="24"/>
          <w:szCs w:val="24"/>
        </w:rPr>
        <w:t xml:space="preserve">andidate’s demonstrated interest in the vision and mission of the GPA; </w:t>
      </w:r>
    </w:p>
    <w:p w14:paraId="0F4870C0" w14:textId="77777777" w:rsidR="000F4559" w:rsidRPr="00A4412C" w:rsidRDefault="000F4559" w:rsidP="000F4559">
      <w:pPr>
        <w:pStyle w:val="ListParagraph"/>
        <w:rPr>
          <w:rFonts w:cstheme="minorHAnsi"/>
          <w:sz w:val="24"/>
          <w:szCs w:val="24"/>
        </w:rPr>
      </w:pPr>
    </w:p>
    <w:p w14:paraId="1C431AFD" w14:textId="3DE97638" w:rsidR="000F4559" w:rsidRPr="00B94C91" w:rsidRDefault="00427ED1" w:rsidP="00B94C91">
      <w:pPr>
        <w:pStyle w:val="ListParagraph"/>
        <w:numPr>
          <w:ilvl w:val="0"/>
          <w:numId w:val="3"/>
        </w:numPr>
        <w:spacing w:line="276" w:lineRule="auto"/>
        <w:rPr>
          <w:rFonts w:cstheme="minorHAnsi"/>
          <w:sz w:val="24"/>
          <w:szCs w:val="24"/>
        </w:rPr>
      </w:pPr>
      <w:r>
        <w:rPr>
          <w:rFonts w:cstheme="minorHAnsi"/>
          <w:sz w:val="24"/>
          <w:szCs w:val="24"/>
        </w:rPr>
        <w:t>a</w:t>
      </w:r>
      <w:r w:rsidR="000F4559" w:rsidRPr="00416151">
        <w:rPr>
          <w:rFonts w:cstheme="minorHAnsi"/>
          <w:sz w:val="24"/>
          <w:szCs w:val="24"/>
        </w:rPr>
        <w:t xml:space="preserve"> proven track record of legal and practical expertise in the field of data protection and privacy or in a data protection related field such as consumer protection, technology policy and human rights,  especially in the legal framework of the region represented by the candidate;</w:t>
      </w:r>
      <w:r w:rsidR="000F4559" w:rsidRPr="00416151">
        <w:rPr>
          <w:sz w:val="24"/>
          <w:szCs w:val="24"/>
        </w:rPr>
        <w:t xml:space="preserve"> </w:t>
      </w:r>
    </w:p>
    <w:p w14:paraId="072E74CA" w14:textId="77777777" w:rsidR="000F4559" w:rsidRPr="000F4559" w:rsidRDefault="000F4559" w:rsidP="000F4559">
      <w:pPr>
        <w:pStyle w:val="ListParagraph"/>
        <w:spacing w:line="276" w:lineRule="auto"/>
        <w:ind w:left="644"/>
        <w:rPr>
          <w:rFonts w:cstheme="minorHAnsi"/>
          <w:sz w:val="24"/>
          <w:szCs w:val="24"/>
        </w:rPr>
      </w:pPr>
    </w:p>
    <w:p w14:paraId="298900E3" w14:textId="27C4A733" w:rsidR="000F4559" w:rsidRDefault="00427ED1" w:rsidP="000F4559">
      <w:pPr>
        <w:pStyle w:val="ListParagraph"/>
        <w:numPr>
          <w:ilvl w:val="0"/>
          <w:numId w:val="3"/>
        </w:numPr>
        <w:spacing w:after="0" w:line="276" w:lineRule="auto"/>
        <w:rPr>
          <w:rFonts w:cstheme="minorHAnsi"/>
          <w:sz w:val="24"/>
          <w:szCs w:val="24"/>
        </w:rPr>
      </w:pPr>
      <w:r>
        <w:rPr>
          <w:rFonts w:cstheme="minorHAnsi"/>
          <w:sz w:val="24"/>
          <w:szCs w:val="24"/>
        </w:rPr>
        <w:t>a</w:t>
      </w:r>
      <w:r w:rsidR="000F4559" w:rsidRPr="00416151">
        <w:rPr>
          <w:rFonts w:cstheme="minorHAnsi"/>
          <w:sz w:val="24"/>
          <w:szCs w:val="24"/>
        </w:rPr>
        <w:t>pplicant’s willingness to dedicate time, effort, expert knowledge, and expenses, if necessary, to render assistance to the GPA and its working groups</w:t>
      </w:r>
    </w:p>
    <w:p w14:paraId="07F3C98D" w14:textId="77777777" w:rsidR="000F4559" w:rsidRPr="00A4412C" w:rsidRDefault="000F4559" w:rsidP="000F4559">
      <w:pPr>
        <w:spacing w:after="0"/>
        <w:rPr>
          <w:rFonts w:cstheme="minorHAnsi"/>
          <w:sz w:val="24"/>
          <w:szCs w:val="24"/>
        </w:rPr>
      </w:pPr>
    </w:p>
    <w:p w14:paraId="2E87EBD5" w14:textId="230A4672" w:rsidR="000F4559" w:rsidRDefault="000F4559" w:rsidP="000F4559">
      <w:pPr>
        <w:pStyle w:val="ListParagraph"/>
        <w:numPr>
          <w:ilvl w:val="0"/>
          <w:numId w:val="3"/>
        </w:numPr>
        <w:spacing w:line="276" w:lineRule="auto"/>
        <w:rPr>
          <w:rFonts w:cstheme="minorHAnsi"/>
          <w:sz w:val="24"/>
          <w:szCs w:val="24"/>
        </w:rPr>
      </w:pPr>
      <w:r w:rsidRPr="00416151">
        <w:rPr>
          <w:rFonts w:cstheme="minorHAnsi"/>
          <w:sz w:val="24"/>
          <w:szCs w:val="24"/>
        </w:rPr>
        <w:t xml:space="preserve">ability to represent the interests of minority and vulnerable groups; </w:t>
      </w:r>
    </w:p>
    <w:p w14:paraId="2F6F1A67" w14:textId="77777777" w:rsidR="000F4559" w:rsidRPr="007A5544" w:rsidRDefault="000F4559" w:rsidP="000F4559">
      <w:pPr>
        <w:pStyle w:val="ListParagraph"/>
        <w:rPr>
          <w:rFonts w:cstheme="minorHAnsi"/>
          <w:sz w:val="24"/>
          <w:szCs w:val="24"/>
        </w:rPr>
      </w:pPr>
    </w:p>
    <w:p w14:paraId="5454BAF5" w14:textId="3E4F1AAE" w:rsidR="000F4559" w:rsidRDefault="000F4559" w:rsidP="000F4559">
      <w:pPr>
        <w:pStyle w:val="ListParagraph"/>
        <w:numPr>
          <w:ilvl w:val="0"/>
          <w:numId w:val="3"/>
        </w:numPr>
        <w:spacing w:line="276" w:lineRule="auto"/>
        <w:rPr>
          <w:rFonts w:cstheme="minorHAnsi"/>
          <w:sz w:val="24"/>
          <w:szCs w:val="24"/>
        </w:rPr>
      </w:pPr>
      <w:r w:rsidRPr="00416151">
        <w:rPr>
          <w:rFonts w:cstheme="minorHAnsi"/>
          <w:sz w:val="24"/>
          <w:szCs w:val="24"/>
        </w:rPr>
        <w:t>expertise in emerging digital technologies;</w:t>
      </w:r>
    </w:p>
    <w:p w14:paraId="5195252A" w14:textId="77777777" w:rsidR="000F4559" w:rsidRPr="00416151" w:rsidRDefault="000F4559" w:rsidP="000F4559">
      <w:pPr>
        <w:pStyle w:val="ListParagraph"/>
        <w:rPr>
          <w:rFonts w:cstheme="minorHAnsi"/>
          <w:sz w:val="24"/>
          <w:szCs w:val="24"/>
        </w:rPr>
      </w:pPr>
    </w:p>
    <w:p w14:paraId="25A4E260" w14:textId="1261604A" w:rsidR="00A46473" w:rsidRDefault="000F4559" w:rsidP="000F4559">
      <w:pPr>
        <w:pStyle w:val="ListParagraph"/>
        <w:numPr>
          <w:ilvl w:val="0"/>
          <w:numId w:val="3"/>
        </w:numPr>
        <w:spacing w:line="276" w:lineRule="auto"/>
        <w:rPr>
          <w:rFonts w:cstheme="minorHAnsi"/>
          <w:sz w:val="24"/>
          <w:szCs w:val="24"/>
        </w:rPr>
      </w:pPr>
      <w:r w:rsidRPr="00416151">
        <w:rPr>
          <w:rFonts w:cstheme="minorHAnsi"/>
          <w:sz w:val="24"/>
          <w:szCs w:val="24"/>
        </w:rPr>
        <w:t>cultural, geographic</w:t>
      </w:r>
      <w:r w:rsidR="00A46473">
        <w:rPr>
          <w:rFonts w:cstheme="minorHAnsi"/>
          <w:sz w:val="24"/>
          <w:szCs w:val="24"/>
        </w:rPr>
        <w:t>,</w:t>
      </w:r>
      <w:r w:rsidRPr="00416151">
        <w:rPr>
          <w:rFonts w:cstheme="minorHAnsi"/>
          <w:sz w:val="24"/>
          <w:szCs w:val="24"/>
        </w:rPr>
        <w:t xml:space="preserve"> and legal</w:t>
      </w:r>
      <w:r w:rsidR="00A46473">
        <w:rPr>
          <w:rFonts w:cstheme="minorHAnsi"/>
          <w:sz w:val="24"/>
          <w:szCs w:val="24"/>
        </w:rPr>
        <w:t xml:space="preserve"> </w:t>
      </w:r>
      <w:r w:rsidRPr="00416151">
        <w:rPr>
          <w:rFonts w:cstheme="minorHAnsi"/>
          <w:sz w:val="24"/>
          <w:szCs w:val="24"/>
        </w:rPr>
        <w:t>diversity</w:t>
      </w:r>
      <w:r>
        <w:rPr>
          <w:rFonts w:cstheme="minorHAnsi"/>
          <w:sz w:val="24"/>
          <w:szCs w:val="24"/>
        </w:rPr>
        <w:t xml:space="preserve">, as well as gender balance. </w:t>
      </w:r>
    </w:p>
    <w:p w14:paraId="418D3140" w14:textId="77777777" w:rsidR="00A46473" w:rsidRPr="00B94C91" w:rsidRDefault="00A46473" w:rsidP="00B94C91">
      <w:pPr>
        <w:pStyle w:val="ListParagraph"/>
        <w:rPr>
          <w:rFonts w:cstheme="minorHAnsi"/>
          <w:sz w:val="24"/>
          <w:szCs w:val="24"/>
        </w:rPr>
      </w:pPr>
    </w:p>
    <w:p w14:paraId="61BFA621" w14:textId="58C72B79" w:rsidR="000F4559" w:rsidRPr="00B94C91" w:rsidRDefault="00A46473" w:rsidP="00B94C91">
      <w:pPr>
        <w:spacing w:line="276" w:lineRule="auto"/>
        <w:rPr>
          <w:rFonts w:cstheme="minorHAnsi"/>
          <w:sz w:val="24"/>
          <w:szCs w:val="24"/>
        </w:rPr>
      </w:pPr>
      <w:r>
        <w:rPr>
          <w:sz w:val="24"/>
          <w:szCs w:val="24"/>
        </w:rPr>
        <w:t>Please note that an applicant’s ability to satisfy criteria 1 (independence and impartiality) is a necessary pre-requisite to being appointed as a member of the GPA Reference Panel. Where an applicant is applying as a private sector representative, membership in a representative body would be one way to demonstrate achievement of this criteria.</w:t>
      </w:r>
      <w:r w:rsidR="000F4559" w:rsidRPr="00B94C91">
        <w:rPr>
          <w:rFonts w:cstheme="minorHAnsi"/>
          <w:sz w:val="24"/>
          <w:szCs w:val="24"/>
        </w:rPr>
        <w:br/>
      </w:r>
    </w:p>
    <w:p w14:paraId="1E0AF186" w14:textId="77777777" w:rsidR="003E5566" w:rsidRPr="004D358D" w:rsidRDefault="003E5566" w:rsidP="004D358D">
      <w:pPr>
        <w:jc w:val="both"/>
        <w:rPr>
          <w:b/>
          <w:sz w:val="28"/>
          <w:szCs w:val="28"/>
        </w:rPr>
      </w:pPr>
      <w:r w:rsidRPr="004D358D">
        <w:rPr>
          <w:b/>
          <w:sz w:val="28"/>
          <w:szCs w:val="28"/>
        </w:rPr>
        <w:t xml:space="preserve">Deliverables: </w:t>
      </w:r>
    </w:p>
    <w:p w14:paraId="24E072AE" w14:textId="73BE1DCA" w:rsidR="003E5566" w:rsidRPr="004D358D" w:rsidRDefault="003E5566" w:rsidP="004D358D">
      <w:pPr>
        <w:jc w:val="both"/>
        <w:rPr>
          <w:sz w:val="24"/>
          <w:szCs w:val="24"/>
        </w:rPr>
      </w:pPr>
      <w:r w:rsidRPr="004D358D">
        <w:rPr>
          <w:sz w:val="24"/>
          <w:szCs w:val="24"/>
        </w:rPr>
        <w:t xml:space="preserve">The overall objectives of the </w:t>
      </w:r>
      <w:r w:rsidR="006A0924" w:rsidRPr="004D358D">
        <w:rPr>
          <w:sz w:val="24"/>
          <w:szCs w:val="24"/>
        </w:rPr>
        <w:t>GPA</w:t>
      </w:r>
      <w:r w:rsidRPr="004D358D">
        <w:rPr>
          <w:sz w:val="24"/>
          <w:szCs w:val="24"/>
        </w:rPr>
        <w:t xml:space="preserve">’s Reference Panel is to provide expert knowledge and practical expertise on data protection and privacy as well as on DP-related issues, thereby equipping the Conference with the ability to identify cross-disciplinary policy solutions to privacy and data protection issues. </w:t>
      </w:r>
    </w:p>
    <w:p w14:paraId="519C3E3F" w14:textId="2A326E3E" w:rsidR="003E5566" w:rsidRPr="004D358D" w:rsidRDefault="003E5566" w:rsidP="004D358D">
      <w:pPr>
        <w:jc w:val="both"/>
        <w:rPr>
          <w:sz w:val="24"/>
          <w:szCs w:val="24"/>
        </w:rPr>
      </w:pPr>
      <w:r w:rsidRPr="004D358D">
        <w:rPr>
          <w:sz w:val="24"/>
          <w:szCs w:val="24"/>
        </w:rPr>
        <w:tab/>
      </w:r>
      <w:r w:rsidR="008E36A7" w:rsidRPr="004D358D">
        <w:rPr>
          <w:sz w:val="24"/>
          <w:szCs w:val="24"/>
        </w:rPr>
        <w:t xml:space="preserve">Specifically, upon request from the membership, </w:t>
      </w:r>
      <w:r w:rsidRPr="004D358D">
        <w:rPr>
          <w:sz w:val="24"/>
          <w:szCs w:val="24"/>
        </w:rPr>
        <w:t xml:space="preserve">members of the reference panel will be tasked to: </w:t>
      </w:r>
    </w:p>
    <w:p w14:paraId="720CEA33" w14:textId="6A5FDF5D" w:rsidR="003E5566" w:rsidRPr="004D358D" w:rsidRDefault="003E5566" w:rsidP="004D358D">
      <w:pPr>
        <w:pStyle w:val="ListParagraph"/>
        <w:numPr>
          <w:ilvl w:val="0"/>
          <w:numId w:val="1"/>
        </w:numPr>
        <w:jc w:val="both"/>
        <w:rPr>
          <w:sz w:val="24"/>
          <w:szCs w:val="24"/>
        </w:rPr>
      </w:pPr>
      <w:r w:rsidRPr="004D358D">
        <w:rPr>
          <w:sz w:val="24"/>
          <w:szCs w:val="24"/>
        </w:rPr>
        <w:t xml:space="preserve">Provide input into the </w:t>
      </w:r>
      <w:r w:rsidR="006A0924" w:rsidRPr="004D358D">
        <w:rPr>
          <w:sz w:val="24"/>
          <w:szCs w:val="24"/>
        </w:rPr>
        <w:t>GPA</w:t>
      </w:r>
      <w:r w:rsidRPr="004D358D">
        <w:rPr>
          <w:sz w:val="24"/>
          <w:szCs w:val="24"/>
        </w:rPr>
        <w:t>’s Policy Strategy</w:t>
      </w:r>
      <w:r w:rsidR="0064398E" w:rsidRPr="004D358D">
        <w:rPr>
          <w:sz w:val="24"/>
          <w:szCs w:val="24"/>
        </w:rPr>
        <w:t xml:space="preserve"> by</w:t>
      </w:r>
      <w:r w:rsidRPr="004D358D">
        <w:rPr>
          <w:sz w:val="24"/>
          <w:szCs w:val="24"/>
        </w:rPr>
        <w:t xml:space="preserve"> giving expert advice on risks the </w:t>
      </w:r>
      <w:r w:rsidR="006A0924" w:rsidRPr="004D358D">
        <w:rPr>
          <w:sz w:val="24"/>
          <w:szCs w:val="24"/>
        </w:rPr>
        <w:t>GPA</w:t>
      </w:r>
      <w:r w:rsidRPr="004D358D">
        <w:rPr>
          <w:sz w:val="24"/>
          <w:szCs w:val="24"/>
        </w:rPr>
        <w:t xml:space="preserve"> should be aware of in the global arena; </w:t>
      </w:r>
    </w:p>
    <w:p w14:paraId="74819545" w14:textId="77777777" w:rsidR="003E5566" w:rsidRPr="004D358D" w:rsidRDefault="003E5566" w:rsidP="004D358D">
      <w:pPr>
        <w:pStyle w:val="ListParagraph"/>
        <w:numPr>
          <w:ilvl w:val="0"/>
          <w:numId w:val="1"/>
        </w:numPr>
        <w:jc w:val="both"/>
        <w:rPr>
          <w:sz w:val="24"/>
          <w:szCs w:val="24"/>
        </w:rPr>
      </w:pPr>
      <w:r w:rsidRPr="004D358D">
        <w:rPr>
          <w:sz w:val="24"/>
          <w:szCs w:val="24"/>
        </w:rPr>
        <w:t xml:space="preserve">Help in stimulating a multi-stakeholder dialogue in the area of data protection and privacy as well as related fields (e.g. consumer protection, digital economy) by supporting the Conference in broadening the scope of its engagement and outreach and by promoting the Conference’s vision and activities at relevant events and through social media; </w:t>
      </w:r>
    </w:p>
    <w:p w14:paraId="2A4863E4" w14:textId="24D48101" w:rsidR="003E5566" w:rsidRPr="004D358D" w:rsidRDefault="003E5566" w:rsidP="004D358D">
      <w:pPr>
        <w:pStyle w:val="ListParagraph"/>
        <w:numPr>
          <w:ilvl w:val="0"/>
          <w:numId w:val="1"/>
        </w:numPr>
        <w:jc w:val="both"/>
        <w:rPr>
          <w:sz w:val="24"/>
          <w:szCs w:val="24"/>
        </w:rPr>
      </w:pPr>
      <w:r w:rsidRPr="004D358D">
        <w:rPr>
          <w:sz w:val="24"/>
          <w:szCs w:val="24"/>
        </w:rPr>
        <w:t xml:space="preserve">Contributing, upon request, to the work and discussions of the </w:t>
      </w:r>
      <w:r w:rsidR="005E6372" w:rsidRPr="004D358D">
        <w:rPr>
          <w:sz w:val="24"/>
          <w:szCs w:val="24"/>
        </w:rPr>
        <w:t>GPA</w:t>
      </w:r>
      <w:r w:rsidRPr="004D358D">
        <w:rPr>
          <w:sz w:val="24"/>
          <w:szCs w:val="24"/>
        </w:rPr>
        <w:t xml:space="preserve">’s working groups; </w:t>
      </w:r>
    </w:p>
    <w:p w14:paraId="362CE3FE" w14:textId="71D53BB2" w:rsidR="003E5566" w:rsidRPr="004D358D" w:rsidRDefault="003E5566" w:rsidP="004D358D">
      <w:pPr>
        <w:pStyle w:val="ListParagraph"/>
        <w:numPr>
          <w:ilvl w:val="0"/>
          <w:numId w:val="1"/>
        </w:numPr>
        <w:jc w:val="both"/>
        <w:rPr>
          <w:sz w:val="24"/>
          <w:szCs w:val="24"/>
        </w:rPr>
      </w:pPr>
      <w:r w:rsidRPr="004D358D">
        <w:rPr>
          <w:sz w:val="24"/>
          <w:szCs w:val="24"/>
        </w:rPr>
        <w:t>Providing expert knowledge to Host Authorities of the Conference’s Annual Meeting</w:t>
      </w:r>
      <w:r w:rsidR="0015646A" w:rsidRPr="004D358D">
        <w:rPr>
          <w:sz w:val="24"/>
          <w:szCs w:val="24"/>
        </w:rPr>
        <w:t xml:space="preserve"> </w:t>
      </w:r>
      <w:r w:rsidR="0064398E" w:rsidRPr="004D358D">
        <w:rPr>
          <w:sz w:val="24"/>
          <w:szCs w:val="24"/>
        </w:rPr>
        <w:t xml:space="preserve">and the Executive Committee </w:t>
      </w:r>
      <w:r w:rsidRPr="004D358D">
        <w:rPr>
          <w:sz w:val="24"/>
          <w:szCs w:val="24"/>
        </w:rPr>
        <w:t>in shaping the programme of the open session as well as of the closed session</w:t>
      </w:r>
      <w:r w:rsidR="0064398E" w:rsidRPr="004D358D">
        <w:rPr>
          <w:sz w:val="24"/>
          <w:szCs w:val="24"/>
        </w:rPr>
        <w:t>. If requested by the Host Authorities or by the Executive Committee</w:t>
      </w:r>
      <w:r w:rsidR="001A51ED" w:rsidRPr="004D358D">
        <w:rPr>
          <w:sz w:val="24"/>
          <w:szCs w:val="24"/>
        </w:rPr>
        <w:t>.</w:t>
      </w:r>
      <w:r w:rsidRPr="004D358D">
        <w:rPr>
          <w:sz w:val="24"/>
          <w:szCs w:val="24"/>
        </w:rPr>
        <w:t xml:space="preserve"> </w:t>
      </w:r>
    </w:p>
    <w:p w14:paraId="733349A8" w14:textId="77777777" w:rsidR="003E5566" w:rsidRPr="004D358D" w:rsidRDefault="003E5566" w:rsidP="004D358D">
      <w:pPr>
        <w:jc w:val="both"/>
      </w:pPr>
    </w:p>
    <w:p w14:paraId="119DAFB0" w14:textId="77777777" w:rsidR="003E5566" w:rsidRPr="004D358D" w:rsidRDefault="003E5566" w:rsidP="004D358D">
      <w:pPr>
        <w:jc w:val="both"/>
      </w:pPr>
    </w:p>
    <w:p w14:paraId="6969BDF0" w14:textId="5343AF23" w:rsidR="003E5566" w:rsidRDefault="003E5566" w:rsidP="004D358D">
      <w:pPr>
        <w:jc w:val="both"/>
      </w:pPr>
    </w:p>
    <w:p w14:paraId="66A2C541" w14:textId="0D762BE7" w:rsidR="001B70FD" w:rsidRDefault="001B70FD" w:rsidP="004D358D">
      <w:pPr>
        <w:jc w:val="both"/>
      </w:pPr>
    </w:p>
    <w:p w14:paraId="097EF5DE" w14:textId="66AAFAEC" w:rsidR="001B70FD" w:rsidRDefault="001B70FD" w:rsidP="004D358D">
      <w:pPr>
        <w:jc w:val="both"/>
      </w:pPr>
    </w:p>
    <w:p w14:paraId="48690F31" w14:textId="40690FBF" w:rsidR="001B70FD" w:rsidRDefault="001B70FD" w:rsidP="004D358D">
      <w:pPr>
        <w:jc w:val="both"/>
      </w:pPr>
    </w:p>
    <w:p w14:paraId="198DDE38" w14:textId="7292B6EC" w:rsidR="00B94C91" w:rsidRDefault="00B94C91" w:rsidP="004D358D">
      <w:pPr>
        <w:jc w:val="both"/>
      </w:pPr>
    </w:p>
    <w:p w14:paraId="01807EDD" w14:textId="398F92F7" w:rsidR="00B94C91" w:rsidRDefault="00B94C91" w:rsidP="004D358D">
      <w:pPr>
        <w:jc w:val="both"/>
      </w:pPr>
    </w:p>
    <w:p w14:paraId="5405EDCA" w14:textId="02803E72" w:rsidR="00B94C91" w:rsidRDefault="00B94C91" w:rsidP="004D358D">
      <w:pPr>
        <w:jc w:val="both"/>
      </w:pPr>
    </w:p>
    <w:p w14:paraId="0CE849A6" w14:textId="465E1B8E" w:rsidR="00B94C91" w:rsidRDefault="00B94C91" w:rsidP="004D358D">
      <w:pPr>
        <w:jc w:val="both"/>
      </w:pPr>
    </w:p>
    <w:p w14:paraId="2353F48A" w14:textId="66D91425" w:rsidR="00B94C91" w:rsidRDefault="00B94C91" w:rsidP="004D358D">
      <w:pPr>
        <w:jc w:val="both"/>
      </w:pPr>
    </w:p>
    <w:p w14:paraId="5434FEFC" w14:textId="77777777" w:rsidR="00B94C91" w:rsidRPr="004D358D" w:rsidRDefault="00B94C91" w:rsidP="004D358D">
      <w:pPr>
        <w:jc w:val="both"/>
      </w:pPr>
    </w:p>
    <w:p w14:paraId="171859C5" w14:textId="77777777" w:rsidR="003E5566" w:rsidRPr="004D358D" w:rsidRDefault="003E5566" w:rsidP="004D358D">
      <w:pPr>
        <w:jc w:val="center"/>
        <w:rPr>
          <w:b/>
          <w:sz w:val="28"/>
          <w:szCs w:val="28"/>
        </w:rPr>
      </w:pPr>
      <w:r w:rsidRPr="004D358D">
        <w:rPr>
          <w:b/>
          <w:sz w:val="28"/>
          <w:szCs w:val="28"/>
        </w:rPr>
        <w:t>Nomination Template</w:t>
      </w:r>
    </w:p>
    <w:p w14:paraId="1C38AB57" w14:textId="77777777" w:rsidR="003E5566" w:rsidRPr="004D358D" w:rsidRDefault="003E5566" w:rsidP="004D358D">
      <w:pPr>
        <w:jc w:val="both"/>
        <w:rPr>
          <w:b/>
          <w:sz w:val="28"/>
          <w:szCs w:val="28"/>
        </w:rPr>
      </w:pPr>
      <w:r w:rsidRPr="004D358D">
        <w:rPr>
          <w:b/>
          <w:sz w:val="28"/>
          <w:szCs w:val="28"/>
        </w:rPr>
        <w:t xml:space="preserve">Nominee’s Name </w:t>
      </w:r>
    </w:p>
    <w:tbl>
      <w:tblPr>
        <w:tblStyle w:val="TableGrid"/>
        <w:tblW w:w="0" w:type="auto"/>
        <w:tblLook w:val="04A0" w:firstRow="1" w:lastRow="0" w:firstColumn="1" w:lastColumn="0" w:noHBand="0" w:noVBand="1"/>
      </w:tblPr>
      <w:tblGrid>
        <w:gridCol w:w="9016"/>
      </w:tblGrid>
      <w:tr w:rsidR="003E5566" w:rsidRPr="004D358D" w14:paraId="5DDAEDC2" w14:textId="77777777" w:rsidTr="00396BED">
        <w:tc>
          <w:tcPr>
            <w:tcW w:w="9016" w:type="dxa"/>
          </w:tcPr>
          <w:p w14:paraId="4511FB1A" w14:textId="77777777" w:rsidR="003E5566" w:rsidRPr="004D358D" w:rsidRDefault="003E5566" w:rsidP="004D358D">
            <w:pPr>
              <w:jc w:val="both"/>
              <w:rPr>
                <w:b/>
                <w:sz w:val="28"/>
                <w:szCs w:val="28"/>
              </w:rPr>
            </w:pPr>
          </w:p>
        </w:tc>
      </w:tr>
    </w:tbl>
    <w:p w14:paraId="32E01919" w14:textId="77777777" w:rsidR="003E5566" w:rsidRPr="004D358D" w:rsidRDefault="003E5566" w:rsidP="004D358D">
      <w:pPr>
        <w:jc w:val="both"/>
        <w:rPr>
          <w:b/>
          <w:sz w:val="28"/>
          <w:szCs w:val="28"/>
        </w:rPr>
      </w:pPr>
    </w:p>
    <w:p w14:paraId="5A2FA3F4" w14:textId="77777777" w:rsidR="003E5566" w:rsidRPr="004D358D" w:rsidRDefault="003E5566" w:rsidP="004D358D">
      <w:pPr>
        <w:jc w:val="both"/>
        <w:rPr>
          <w:b/>
          <w:sz w:val="28"/>
          <w:szCs w:val="28"/>
        </w:rPr>
      </w:pPr>
      <w:r w:rsidRPr="004D358D">
        <w:rPr>
          <w:b/>
          <w:sz w:val="28"/>
          <w:szCs w:val="28"/>
        </w:rPr>
        <w:t>Gender</w:t>
      </w:r>
    </w:p>
    <w:tbl>
      <w:tblPr>
        <w:tblStyle w:val="TableGrid"/>
        <w:tblW w:w="0" w:type="auto"/>
        <w:tblLook w:val="04A0" w:firstRow="1" w:lastRow="0" w:firstColumn="1" w:lastColumn="0" w:noHBand="0" w:noVBand="1"/>
      </w:tblPr>
      <w:tblGrid>
        <w:gridCol w:w="9016"/>
      </w:tblGrid>
      <w:tr w:rsidR="003E5566" w:rsidRPr="004D358D" w14:paraId="6D2A53B6" w14:textId="77777777" w:rsidTr="00396BED">
        <w:tc>
          <w:tcPr>
            <w:tcW w:w="9016" w:type="dxa"/>
          </w:tcPr>
          <w:p w14:paraId="70B1B99B" w14:textId="77777777" w:rsidR="003E5566" w:rsidRPr="004D358D" w:rsidRDefault="003E5566" w:rsidP="004D358D">
            <w:pPr>
              <w:jc w:val="both"/>
              <w:rPr>
                <w:b/>
                <w:sz w:val="28"/>
                <w:szCs w:val="28"/>
              </w:rPr>
            </w:pPr>
          </w:p>
        </w:tc>
      </w:tr>
    </w:tbl>
    <w:p w14:paraId="0BDA563F" w14:textId="77777777" w:rsidR="003E5566" w:rsidRPr="004D358D" w:rsidRDefault="003E5566" w:rsidP="004D358D">
      <w:pPr>
        <w:jc w:val="both"/>
        <w:rPr>
          <w:b/>
          <w:sz w:val="28"/>
          <w:szCs w:val="28"/>
        </w:rPr>
      </w:pPr>
    </w:p>
    <w:p w14:paraId="522B5C5E" w14:textId="77777777" w:rsidR="003E5566" w:rsidRPr="004D358D" w:rsidRDefault="003E5566" w:rsidP="004D358D">
      <w:pPr>
        <w:jc w:val="both"/>
        <w:rPr>
          <w:b/>
          <w:sz w:val="28"/>
          <w:szCs w:val="28"/>
        </w:rPr>
      </w:pPr>
      <w:r w:rsidRPr="004D358D">
        <w:rPr>
          <w:b/>
          <w:sz w:val="28"/>
          <w:szCs w:val="28"/>
        </w:rPr>
        <w:t xml:space="preserve">Contact Email Address </w:t>
      </w:r>
    </w:p>
    <w:tbl>
      <w:tblPr>
        <w:tblStyle w:val="TableGrid"/>
        <w:tblW w:w="0" w:type="auto"/>
        <w:tblLook w:val="04A0" w:firstRow="1" w:lastRow="0" w:firstColumn="1" w:lastColumn="0" w:noHBand="0" w:noVBand="1"/>
      </w:tblPr>
      <w:tblGrid>
        <w:gridCol w:w="9016"/>
      </w:tblGrid>
      <w:tr w:rsidR="003E5566" w:rsidRPr="004D358D" w14:paraId="1FE559A5" w14:textId="77777777" w:rsidTr="00396BED">
        <w:tc>
          <w:tcPr>
            <w:tcW w:w="9016" w:type="dxa"/>
          </w:tcPr>
          <w:p w14:paraId="648365CD" w14:textId="77777777" w:rsidR="003E5566" w:rsidRPr="004D358D" w:rsidRDefault="003E5566" w:rsidP="004D358D">
            <w:pPr>
              <w:jc w:val="both"/>
              <w:rPr>
                <w:b/>
                <w:sz w:val="28"/>
                <w:szCs w:val="28"/>
              </w:rPr>
            </w:pPr>
          </w:p>
        </w:tc>
      </w:tr>
    </w:tbl>
    <w:p w14:paraId="3CACBF32" w14:textId="77777777" w:rsidR="003E5566" w:rsidRPr="004D358D" w:rsidRDefault="003E5566" w:rsidP="004D358D">
      <w:pPr>
        <w:jc w:val="both"/>
        <w:rPr>
          <w:b/>
          <w:sz w:val="28"/>
          <w:szCs w:val="28"/>
        </w:rPr>
      </w:pPr>
    </w:p>
    <w:p w14:paraId="4A2FBA1B" w14:textId="77777777" w:rsidR="003E5566" w:rsidRPr="004D358D" w:rsidRDefault="003E5566" w:rsidP="004D358D">
      <w:pPr>
        <w:pStyle w:val="ListParagraph"/>
        <w:numPr>
          <w:ilvl w:val="0"/>
          <w:numId w:val="2"/>
        </w:numPr>
        <w:jc w:val="both"/>
        <w:rPr>
          <w:sz w:val="28"/>
          <w:szCs w:val="28"/>
        </w:rPr>
      </w:pPr>
      <w:r w:rsidRPr="004D358D">
        <w:rPr>
          <w:sz w:val="28"/>
          <w:szCs w:val="28"/>
        </w:rPr>
        <w:t xml:space="preserve">The nominee is (please tick as appropriate): </w:t>
      </w:r>
    </w:p>
    <w:p w14:paraId="24036897" w14:textId="77777777" w:rsidR="003E5566" w:rsidRPr="004D358D" w:rsidRDefault="003E5566" w:rsidP="004D358D">
      <w:pPr>
        <w:pStyle w:val="Default"/>
      </w:pPr>
    </w:p>
    <w:p w14:paraId="31D026F9" w14:textId="77777777" w:rsidR="003E5566" w:rsidRPr="004D358D" w:rsidRDefault="003E5566" w:rsidP="004D358D">
      <w:pPr>
        <w:jc w:val="both"/>
        <w:rPr>
          <w:sz w:val="28"/>
          <w:szCs w:val="28"/>
        </w:rPr>
      </w:pPr>
      <w:r w:rsidRPr="004D358D">
        <w:rPr>
          <w:sz w:val="23"/>
          <w:szCs w:val="23"/>
        </w:rPr>
        <w:t xml:space="preserve">⃝ </w:t>
      </w:r>
      <w:r w:rsidRPr="004D358D">
        <w:rPr>
          <w:sz w:val="28"/>
          <w:szCs w:val="28"/>
        </w:rPr>
        <w:t xml:space="preserve">An individual to be appointed in a personal capacity </w:t>
      </w:r>
    </w:p>
    <w:p w14:paraId="1973E830" w14:textId="77777777" w:rsidR="003E5566" w:rsidRPr="004D358D" w:rsidRDefault="003E5566" w:rsidP="004D358D">
      <w:pPr>
        <w:jc w:val="both"/>
        <w:rPr>
          <w:sz w:val="28"/>
          <w:szCs w:val="28"/>
        </w:rPr>
      </w:pPr>
      <w:r w:rsidRPr="004D358D">
        <w:rPr>
          <w:sz w:val="23"/>
          <w:szCs w:val="23"/>
        </w:rPr>
        <w:t xml:space="preserve">⃝ </w:t>
      </w:r>
      <w:r w:rsidRPr="004D358D">
        <w:rPr>
          <w:sz w:val="28"/>
          <w:szCs w:val="28"/>
        </w:rPr>
        <w:t xml:space="preserve">An individual to be appointed as representative of an organisation </w:t>
      </w:r>
    </w:p>
    <w:p w14:paraId="0E9F4917" w14:textId="77777777" w:rsidR="003E5566" w:rsidRPr="004D358D" w:rsidRDefault="003E5566" w:rsidP="004D358D">
      <w:pPr>
        <w:pStyle w:val="ListParagraph"/>
        <w:numPr>
          <w:ilvl w:val="0"/>
          <w:numId w:val="2"/>
        </w:numPr>
        <w:jc w:val="both"/>
        <w:rPr>
          <w:sz w:val="28"/>
          <w:szCs w:val="28"/>
        </w:rPr>
      </w:pPr>
      <w:r w:rsidRPr="004D358D">
        <w:rPr>
          <w:sz w:val="28"/>
          <w:szCs w:val="28"/>
        </w:rPr>
        <w:t xml:space="preserve">If applying to be appointed as representative of an organisation, please select from the list below the category which describes most appropriately the organisation: </w:t>
      </w:r>
    </w:p>
    <w:p w14:paraId="0FC3AE0E" w14:textId="77777777" w:rsidR="003E5566" w:rsidRPr="004D358D" w:rsidRDefault="003E5566" w:rsidP="004D358D">
      <w:pPr>
        <w:jc w:val="both"/>
        <w:rPr>
          <w:sz w:val="28"/>
          <w:szCs w:val="28"/>
        </w:rPr>
      </w:pPr>
      <w:r w:rsidRPr="004D358D">
        <w:rPr>
          <w:sz w:val="23"/>
          <w:szCs w:val="23"/>
        </w:rPr>
        <w:t xml:space="preserve">⃝ </w:t>
      </w:r>
      <w:r w:rsidRPr="004D358D">
        <w:rPr>
          <w:sz w:val="28"/>
          <w:szCs w:val="28"/>
        </w:rPr>
        <w:t>Academic Organisation (e.g. University, Research Institute within university)</w:t>
      </w:r>
    </w:p>
    <w:p w14:paraId="60F9197D" w14:textId="0F4D9E46" w:rsidR="003E5566" w:rsidRPr="004D358D" w:rsidRDefault="003E5566" w:rsidP="004D358D">
      <w:pPr>
        <w:pStyle w:val="Default"/>
        <w:rPr>
          <w:rFonts w:ascii="Calibri" w:hAnsi="Calibri"/>
          <w:sz w:val="23"/>
          <w:szCs w:val="23"/>
        </w:rPr>
      </w:pPr>
      <w:r w:rsidRPr="004D358D">
        <w:rPr>
          <w:rFonts w:ascii="Calibri" w:hAnsi="Calibri"/>
          <w:sz w:val="23"/>
          <w:szCs w:val="23"/>
        </w:rPr>
        <w:t xml:space="preserve">⃝ </w:t>
      </w:r>
      <w:r w:rsidRPr="004D358D">
        <w:rPr>
          <w:rFonts w:asciiTheme="minorHAnsi" w:hAnsiTheme="minorHAnsi" w:cstheme="minorBidi"/>
          <w:color w:val="auto"/>
          <w:sz w:val="28"/>
          <w:szCs w:val="28"/>
        </w:rPr>
        <w:t>NGOs or Civil Society Organisation (i.e. non-state and non-</w:t>
      </w:r>
      <w:r w:rsidR="007C64C9" w:rsidRPr="004D358D">
        <w:rPr>
          <w:rFonts w:asciiTheme="minorHAnsi" w:hAnsiTheme="minorHAnsi" w:cstheme="minorBidi"/>
          <w:color w:val="auto"/>
          <w:sz w:val="28"/>
          <w:szCs w:val="28"/>
        </w:rPr>
        <w:t>for-profit</w:t>
      </w:r>
      <w:r w:rsidRPr="004D358D">
        <w:rPr>
          <w:rFonts w:asciiTheme="minorHAnsi" w:hAnsiTheme="minorHAnsi" w:cstheme="minorBidi"/>
          <w:color w:val="auto"/>
          <w:sz w:val="28"/>
          <w:szCs w:val="28"/>
        </w:rPr>
        <w:t xml:space="preserve"> organisations pursuing a shared goal)</w:t>
      </w:r>
    </w:p>
    <w:p w14:paraId="4F53B869" w14:textId="77777777" w:rsidR="003E5566" w:rsidRPr="004D358D" w:rsidRDefault="003E5566" w:rsidP="004D358D">
      <w:pPr>
        <w:pStyle w:val="Default"/>
        <w:rPr>
          <w:rFonts w:ascii="Calibri" w:hAnsi="Calibri"/>
          <w:sz w:val="23"/>
          <w:szCs w:val="23"/>
        </w:rPr>
      </w:pPr>
    </w:p>
    <w:p w14:paraId="59D6727A" w14:textId="77777777" w:rsidR="003E5566" w:rsidRPr="004D358D" w:rsidRDefault="003E5566" w:rsidP="004D358D">
      <w:pPr>
        <w:pStyle w:val="Default"/>
        <w:rPr>
          <w:rFonts w:asciiTheme="minorHAnsi" w:hAnsiTheme="minorHAnsi" w:cstheme="minorBidi"/>
          <w:color w:val="auto"/>
          <w:sz w:val="28"/>
          <w:szCs w:val="28"/>
        </w:rPr>
      </w:pPr>
      <w:r w:rsidRPr="004D358D">
        <w:rPr>
          <w:rFonts w:ascii="Calibri" w:hAnsi="Calibri"/>
          <w:sz w:val="23"/>
          <w:szCs w:val="23"/>
        </w:rPr>
        <w:t xml:space="preserve">⃝ </w:t>
      </w:r>
      <w:r w:rsidRPr="004D358D">
        <w:rPr>
          <w:rFonts w:asciiTheme="minorHAnsi" w:hAnsiTheme="minorHAnsi" w:cstheme="minorBidi"/>
          <w:color w:val="auto"/>
          <w:sz w:val="28"/>
          <w:szCs w:val="28"/>
        </w:rPr>
        <w:t>Think Tank or Research Centre (i.e. research institutes not affiliated with an institution performing academic and educational activities)</w:t>
      </w:r>
    </w:p>
    <w:p w14:paraId="12F2A676" w14:textId="77777777" w:rsidR="003E5566" w:rsidRPr="004D358D" w:rsidRDefault="003E5566" w:rsidP="004D358D">
      <w:pPr>
        <w:pStyle w:val="Default"/>
        <w:rPr>
          <w:rFonts w:asciiTheme="minorHAnsi" w:hAnsiTheme="minorHAnsi" w:cstheme="minorBidi"/>
          <w:color w:val="auto"/>
          <w:sz w:val="28"/>
          <w:szCs w:val="28"/>
        </w:rPr>
      </w:pPr>
    </w:p>
    <w:p w14:paraId="01E8C52D" w14:textId="77777777" w:rsidR="003E5566" w:rsidRPr="004D358D" w:rsidRDefault="003E5566" w:rsidP="004D358D">
      <w:pPr>
        <w:pStyle w:val="Default"/>
        <w:rPr>
          <w:rFonts w:asciiTheme="minorHAnsi" w:hAnsiTheme="minorHAnsi" w:cstheme="minorBidi"/>
          <w:color w:val="auto"/>
          <w:sz w:val="28"/>
          <w:szCs w:val="28"/>
        </w:rPr>
      </w:pPr>
      <w:r w:rsidRPr="004D358D">
        <w:rPr>
          <w:rFonts w:ascii="Calibri" w:hAnsi="Calibri"/>
          <w:sz w:val="23"/>
          <w:szCs w:val="23"/>
        </w:rPr>
        <w:t>⃝</w:t>
      </w:r>
      <w:r w:rsidRPr="004D358D">
        <w:rPr>
          <w:rFonts w:asciiTheme="minorHAnsi" w:hAnsiTheme="minorHAnsi" w:cstheme="minorBidi"/>
          <w:color w:val="auto"/>
          <w:sz w:val="28"/>
          <w:szCs w:val="28"/>
        </w:rPr>
        <w:t xml:space="preserve"> Non-privacy supervisory authority or Sectoral Regulator</w:t>
      </w:r>
    </w:p>
    <w:p w14:paraId="59E10DB0" w14:textId="77777777" w:rsidR="003E5566" w:rsidRPr="004D358D" w:rsidRDefault="003E5566" w:rsidP="004D358D">
      <w:pPr>
        <w:jc w:val="both"/>
        <w:rPr>
          <w:rFonts w:ascii="Wingdings" w:hAnsi="Wingdings" w:cs="Wingdings"/>
          <w:color w:val="000000"/>
          <w:sz w:val="23"/>
          <w:szCs w:val="23"/>
        </w:rPr>
      </w:pPr>
    </w:p>
    <w:p w14:paraId="29D6F793" w14:textId="77777777" w:rsidR="003E5566" w:rsidRPr="004D358D" w:rsidRDefault="003E5566" w:rsidP="004D358D">
      <w:pPr>
        <w:jc w:val="both"/>
        <w:rPr>
          <w:sz w:val="28"/>
          <w:szCs w:val="28"/>
        </w:rPr>
      </w:pPr>
      <w:r w:rsidRPr="004D358D">
        <w:rPr>
          <w:rFonts w:ascii="Calibri" w:hAnsi="Calibri"/>
          <w:sz w:val="23"/>
          <w:szCs w:val="23"/>
        </w:rPr>
        <w:t xml:space="preserve">⃝ </w:t>
      </w:r>
      <w:r w:rsidRPr="004D358D">
        <w:rPr>
          <w:sz w:val="28"/>
          <w:szCs w:val="28"/>
        </w:rPr>
        <w:t>Private Sector Organisation or Industry Groups</w:t>
      </w:r>
    </w:p>
    <w:p w14:paraId="36E49CB1" w14:textId="77777777" w:rsidR="003E5566" w:rsidRPr="004D358D" w:rsidRDefault="003E5566" w:rsidP="004D358D">
      <w:pPr>
        <w:pStyle w:val="ListParagraph"/>
        <w:numPr>
          <w:ilvl w:val="0"/>
          <w:numId w:val="2"/>
        </w:numPr>
        <w:jc w:val="both"/>
        <w:rPr>
          <w:sz w:val="28"/>
          <w:szCs w:val="28"/>
        </w:rPr>
      </w:pPr>
      <w:r w:rsidRPr="004D358D">
        <w:rPr>
          <w:sz w:val="28"/>
          <w:szCs w:val="28"/>
        </w:rPr>
        <w:t xml:space="preserve">Policy Area: </w:t>
      </w:r>
    </w:p>
    <w:p w14:paraId="7B5C076B" w14:textId="77777777" w:rsidR="003E5566" w:rsidRPr="004D358D" w:rsidRDefault="003E5566" w:rsidP="004D358D">
      <w:pPr>
        <w:jc w:val="both"/>
        <w:rPr>
          <w:sz w:val="28"/>
          <w:szCs w:val="28"/>
        </w:rPr>
      </w:pPr>
      <w:r w:rsidRPr="004D358D">
        <w:rPr>
          <w:sz w:val="28"/>
          <w:szCs w:val="28"/>
        </w:rPr>
        <w:t>⃝ Consumer Protection</w:t>
      </w:r>
    </w:p>
    <w:p w14:paraId="14957AE7" w14:textId="77777777" w:rsidR="003E5566" w:rsidRPr="004D358D" w:rsidRDefault="003E5566" w:rsidP="004D358D">
      <w:pPr>
        <w:jc w:val="both"/>
        <w:rPr>
          <w:sz w:val="28"/>
          <w:szCs w:val="28"/>
        </w:rPr>
      </w:pPr>
      <w:r w:rsidRPr="004D358D">
        <w:rPr>
          <w:sz w:val="28"/>
          <w:szCs w:val="28"/>
        </w:rPr>
        <w:lastRenderedPageBreak/>
        <w:t>⃝ Human Rights</w:t>
      </w:r>
    </w:p>
    <w:p w14:paraId="45989A1A" w14:textId="77777777" w:rsidR="003E5566" w:rsidRPr="004D358D" w:rsidRDefault="003E5566" w:rsidP="004D358D">
      <w:pPr>
        <w:jc w:val="both"/>
        <w:rPr>
          <w:sz w:val="28"/>
          <w:szCs w:val="28"/>
        </w:rPr>
      </w:pPr>
      <w:r w:rsidRPr="004D358D">
        <w:rPr>
          <w:sz w:val="28"/>
          <w:szCs w:val="28"/>
        </w:rPr>
        <w:t>⃝ International Enforcement Cooperation</w:t>
      </w:r>
    </w:p>
    <w:p w14:paraId="0A5CBB67" w14:textId="77777777" w:rsidR="003E5566" w:rsidRPr="004D358D" w:rsidRDefault="003E5566" w:rsidP="004D358D">
      <w:pPr>
        <w:jc w:val="both"/>
        <w:rPr>
          <w:sz w:val="28"/>
          <w:szCs w:val="28"/>
        </w:rPr>
      </w:pPr>
      <w:r w:rsidRPr="004D358D">
        <w:rPr>
          <w:sz w:val="28"/>
          <w:szCs w:val="28"/>
        </w:rPr>
        <w:t xml:space="preserve">⃝ National Security and the Right to Privacy </w:t>
      </w:r>
    </w:p>
    <w:p w14:paraId="228E1DBC" w14:textId="77777777" w:rsidR="003E5566" w:rsidRPr="004D358D" w:rsidRDefault="003E5566" w:rsidP="004D358D">
      <w:pPr>
        <w:jc w:val="both"/>
        <w:rPr>
          <w:sz w:val="28"/>
          <w:szCs w:val="28"/>
        </w:rPr>
      </w:pPr>
      <w:r w:rsidRPr="004D358D">
        <w:rPr>
          <w:sz w:val="28"/>
          <w:szCs w:val="28"/>
        </w:rPr>
        <w:t>⃝ Online Children’s Privacy</w:t>
      </w:r>
    </w:p>
    <w:p w14:paraId="41177B6E" w14:textId="77777777" w:rsidR="003E5566" w:rsidRPr="004D358D" w:rsidRDefault="003E5566" w:rsidP="004D358D">
      <w:pPr>
        <w:jc w:val="both"/>
        <w:rPr>
          <w:sz w:val="28"/>
          <w:szCs w:val="28"/>
        </w:rPr>
      </w:pPr>
      <w:r w:rsidRPr="004D358D">
        <w:rPr>
          <w:sz w:val="28"/>
          <w:szCs w:val="28"/>
        </w:rPr>
        <w:t xml:space="preserve">⃝ Privacy and Data Protection </w:t>
      </w:r>
    </w:p>
    <w:p w14:paraId="3CE70566" w14:textId="77777777" w:rsidR="003E5566" w:rsidRPr="004D358D" w:rsidRDefault="003E5566" w:rsidP="004D358D">
      <w:pPr>
        <w:jc w:val="both"/>
        <w:rPr>
          <w:sz w:val="28"/>
          <w:szCs w:val="28"/>
        </w:rPr>
      </w:pPr>
      <w:r w:rsidRPr="004D358D">
        <w:rPr>
          <w:sz w:val="28"/>
          <w:szCs w:val="28"/>
        </w:rPr>
        <w:t>⃝ Technology Policy (Privacy in the Digital Age, Big Data, IoT, Cloud Computing, AI)</w:t>
      </w:r>
    </w:p>
    <w:p w14:paraId="05C6FD1D" w14:textId="77777777" w:rsidR="003E5566" w:rsidRPr="004D358D" w:rsidRDefault="003E5566" w:rsidP="004D358D">
      <w:pPr>
        <w:pStyle w:val="ListParagraph"/>
        <w:numPr>
          <w:ilvl w:val="0"/>
          <w:numId w:val="2"/>
        </w:numPr>
        <w:jc w:val="both"/>
        <w:rPr>
          <w:sz w:val="28"/>
          <w:szCs w:val="28"/>
        </w:rPr>
      </w:pPr>
      <w:r w:rsidRPr="004D358D">
        <w:rPr>
          <w:sz w:val="28"/>
          <w:szCs w:val="28"/>
        </w:rPr>
        <w:t xml:space="preserve">Region: </w:t>
      </w:r>
    </w:p>
    <w:p w14:paraId="3DE8F9F5" w14:textId="77777777" w:rsidR="003E5566" w:rsidRPr="004D358D" w:rsidRDefault="003E5566" w:rsidP="004D358D">
      <w:pPr>
        <w:jc w:val="both"/>
        <w:rPr>
          <w:sz w:val="28"/>
          <w:szCs w:val="28"/>
        </w:rPr>
      </w:pPr>
      <w:r w:rsidRPr="004D358D">
        <w:rPr>
          <w:sz w:val="28"/>
          <w:szCs w:val="28"/>
        </w:rPr>
        <w:t>⃝ Africa</w:t>
      </w:r>
    </w:p>
    <w:p w14:paraId="2DC9FD3A" w14:textId="77777777" w:rsidR="003E5566" w:rsidRPr="004D358D" w:rsidRDefault="003E5566" w:rsidP="004D358D">
      <w:pPr>
        <w:jc w:val="both"/>
        <w:rPr>
          <w:sz w:val="28"/>
          <w:szCs w:val="28"/>
        </w:rPr>
      </w:pPr>
      <w:r w:rsidRPr="004D358D">
        <w:rPr>
          <w:sz w:val="28"/>
          <w:szCs w:val="28"/>
        </w:rPr>
        <w:t>⃝ Asia</w:t>
      </w:r>
    </w:p>
    <w:p w14:paraId="39047004" w14:textId="77777777" w:rsidR="003E5566" w:rsidRPr="004D358D" w:rsidRDefault="003E5566" w:rsidP="004D358D">
      <w:pPr>
        <w:jc w:val="both"/>
        <w:rPr>
          <w:sz w:val="28"/>
          <w:szCs w:val="28"/>
        </w:rPr>
      </w:pPr>
      <w:r w:rsidRPr="004D358D">
        <w:rPr>
          <w:sz w:val="28"/>
          <w:szCs w:val="28"/>
        </w:rPr>
        <w:t>⃝ Europe (in the broad sense)</w:t>
      </w:r>
    </w:p>
    <w:p w14:paraId="7A4A0A0A" w14:textId="77777777" w:rsidR="003E5566" w:rsidRPr="004D358D" w:rsidRDefault="003E5566" w:rsidP="004D358D">
      <w:pPr>
        <w:jc w:val="both"/>
        <w:rPr>
          <w:sz w:val="28"/>
          <w:szCs w:val="28"/>
        </w:rPr>
      </w:pPr>
      <w:r w:rsidRPr="004D358D">
        <w:rPr>
          <w:sz w:val="28"/>
          <w:szCs w:val="28"/>
        </w:rPr>
        <w:t>⃝ Middle East</w:t>
      </w:r>
    </w:p>
    <w:p w14:paraId="05701181" w14:textId="77777777" w:rsidR="003E5566" w:rsidRPr="004D358D" w:rsidRDefault="003E5566" w:rsidP="004D358D">
      <w:pPr>
        <w:jc w:val="both"/>
        <w:rPr>
          <w:sz w:val="28"/>
          <w:szCs w:val="28"/>
        </w:rPr>
      </w:pPr>
      <w:r w:rsidRPr="004D358D">
        <w:rPr>
          <w:sz w:val="28"/>
          <w:szCs w:val="28"/>
        </w:rPr>
        <w:t xml:space="preserve">⃝ North America </w:t>
      </w:r>
    </w:p>
    <w:p w14:paraId="375C3CAF" w14:textId="77777777" w:rsidR="003E5566" w:rsidRPr="004D358D" w:rsidRDefault="003E5566" w:rsidP="004D358D">
      <w:pPr>
        <w:jc w:val="both"/>
        <w:rPr>
          <w:sz w:val="28"/>
          <w:szCs w:val="28"/>
        </w:rPr>
      </w:pPr>
      <w:r w:rsidRPr="004D358D">
        <w:rPr>
          <w:sz w:val="28"/>
          <w:szCs w:val="28"/>
        </w:rPr>
        <w:t>⃝ Oceania</w:t>
      </w:r>
    </w:p>
    <w:p w14:paraId="6890CF9A" w14:textId="77777777" w:rsidR="003E5566" w:rsidRPr="004D358D" w:rsidRDefault="003E5566" w:rsidP="004D358D">
      <w:pPr>
        <w:jc w:val="both"/>
        <w:rPr>
          <w:sz w:val="28"/>
          <w:szCs w:val="28"/>
        </w:rPr>
      </w:pPr>
      <w:r w:rsidRPr="004D358D">
        <w:rPr>
          <w:sz w:val="28"/>
          <w:szCs w:val="28"/>
        </w:rPr>
        <w:t xml:space="preserve">⃝ South America </w:t>
      </w:r>
    </w:p>
    <w:p w14:paraId="16793278" w14:textId="77777777" w:rsidR="003E5566" w:rsidRDefault="003E5566" w:rsidP="004D358D">
      <w:pPr>
        <w:jc w:val="both"/>
        <w:rPr>
          <w:sz w:val="28"/>
          <w:szCs w:val="28"/>
        </w:rPr>
      </w:pPr>
      <w:r w:rsidRPr="004D358D">
        <w:rPr>
          <w:sz w:val="28"/>
          <w:szCs w:val="28"/>
        </w:rPr>
        <w:t>⃝ Global (please tick this if from an organisation with a global outreach)</w:t>
      </w:r>
      <w:r>
        <w:rPr>
          <w:sz w:val="28"/>
          <w:szCs w:val="28"/>
        </w:rPr>
        <w:t xml:space="preserve"> </w:t>
      </w:r>
    </w:p>
    <w:p w14:paraId="4291F22C" w14:textId="77777777" w:rsidR="00E31475" w:rsidRDefault="00E31475" w:rsidP="004D358D"/>
    <w:sectPr w:rsidR="00E3147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329E0" w14:textId="77777777" w:rsidR="0006655F" w:rsidRDefault="0006655F" w:rsidP="003E5566">
      <w:pPr>
        <w:spacing w:after="0" w:line="240" w:lineRule="auto"/>
      </w:pPr>
      <w:r>
        <w:separator/>
      </w:r>
    </w:p>
  </w:endnote>
  <w:endnote w:type="continuationSeparator" w:id="0">
    <w:p w14:paraId="363C23AE" w14:textId="77777777" w:rsidR="0006655F" w:rsidRDefault="0006655F" w:rsidP="003E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27166"/>
      <w:docPartObj>
        <w:docPartGallery w:val="Page Numbers (Bottom of Page)"/>
        <w:docPartUnique/>
      </w:docPartObj>
    </w:sdtPr>
    <w:sdtEndPr>
      <w:rPr>
        <w:noProof/>
      </w:rPr>
    </w:sdtEndPr>
    <w:sdtContent>
      <w:p w14:paraId="08C870F6" w14:textId="49591C39" w:rsidR="00B71E09" w:rsidRDefault="00B71E09">
        <w:pPr>
          <w:pStyle w:val="Footer"/>
          <w:jc w:val="right"/>
        </w:pPr>
        <w:r>
          <w:fldChar w:fldCharType="begin"/>
        </w:r>
        <w:r>
          <w:instrText xml:space="preserve"> PAGE   \* MERGEFORMAT </w:instrText>
        </w:r>
        <w:r>
          <w:fldChar w:fldCharType="separate"/>
        </w:r>
        <w:r w:rsidR="001B23EE">
          <w:rPr>
            <w:noProof/>
          </w:rPr>
          <w:t>1</w:t>
        </w:r>
        <w:r>
          <w:rPr>
            <w:noProof/>
          </w:rPr>
          <w:fldChar w:fldCharType="end"/>
        </w:r>
      </w:p>
    </w:sdtContent>
  </w:sdt>
  <w:p w14:paraId="5070D75E" w14:textId="77777777" w:rsidR="00B71E09" w:rsidRDefault="00B71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7ED94" w14:textId="77777777" w:rsidR="0006655F" w:rsidRDefault="0006655F" w:rsidP="003E5566">
      <w:pPr>
        <w:spacing w:after="0" w:line="240" w:lineRule="auto"/>
      </w:pPr>
      <w:r>
        <w:separator/>
      </w:r>
    </w:p>
  </w:footnote>
  <w:footnote w:type="continuationSeparator" w:id="0">
    <w:p w14:paraId="3C0E32A6" w14:textId="77777777" w:rsidR="0006655F" w:rsidRDefault="0006655F" w:rsidP="003E5566">
      <w:pPr>
        <w:spacing w:after="0" w:line="240" w:lineRule="auto"/>
      </w:pPr>
      <w:r>
        <w:continuationSeparator/>
      </w:r>
    </w:p>
  </w:footnote>
  <w:footnote w:id="1">
    <w:p w14:paraId="27C91487" w14:textId="3DD9AA4B" w:rsidR="003E5566" w:rsidRDefault="003E5566" w:rsidP="003E5566">
      <w:pPr>
        <w:pStyle w:val="FootnoteText"/>
        <w:jc w:val="both"/>
      </w:pPr>
      <w:r>
        <w:rPr>
          <w:rStyle w:val="FootnoteReference"/>
        </w:rPr>
        <w:footnoteRef/>
      </w:r>
      <w:hyperlink r:id="rId1" w:history="1">
        <w:r w:rsidR="001F1DEC" w:rsidRPr="00857B36">
          <w:rPr>
            <w:rStyle w:val="Hyperlink"/>
          </w:rPr>
          <w:t>https://globalprivacyassembly.org/wp-content/uploads/2019/11/ICDPPC-Reference-Panel_Final.pdf</w:t>
        </w:r>
      </w:hyperlink>
      <w:r w:rsidR="001F1DEC">
        <w:t xml:space="preserve">. </w:t>
      </w:r>
    </w:p>
  </w:footnote>
  <w:footnote w:id="2">
    <w:p w14:paraId="68254C97" w14:textId="1855C851" w:rsidR="003E5566" w:rsidRDefault="003E5566" w:rsidP="003E5566">
      <w:pPr>
        <w:pStyle w:val="FootnoteText"/>
        <w:jc w:val="both"/>
      </w:pPr>
      <w:r>
        <w:rPr>
          <w:rStyle w:val="FootnoteReference"/>
        </w:rPr>
        <w:footnoteRef/>
      </w:r>
      <w:r>
        <w:t xml:space="preserve"> According to the findings of the ICDPPC Census 2017, 64% of the authorities which responded to the census survey </w:t>
      </w:r>
      <w:r w:rsidR="007C64C9">
        <w:t>were in</w:t>
      </w:r>
      <w:r>
        <w:t xml:space="preserve"> Europe. To access the ICDPPC Census 2017, please visit: </w:t>
      </w:r>
      <w:hyperlink r:id="rId2" w:history="1">
        <w:r w:rsidRPr="005D571B">
          <w:rPr>
            <w:rStyle w:val="Hyperlink"/>
          </w:rPr>
          <w:t>https://icdppc.org/wp-content/uploads/2017/09/ICDPPC-Census-Report-1.pdf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BC3"/>
    <w:multiLevelType w:val="hybridMultilevel"/>
    <w:tmpl w:val="DF16DE1E"/>
    <w:lvl w:ilvl="0" w:tplc="FA32FC84">
      <w:start w:val="4"/>
      <w:numFmt w:val="bullet"/>
      <w:lvlText w:val=""/>
      <w:lvlJc w:val="left"/>
      <w:pPr>
        <w:ind w:left="720" w:hanging="360"/>
      </w:pPr>
      <w:rPr>
        <w:rFonts w:ascii="Wingdings" w:eastAsiaTheme="minorHAnsi" w:hAnsi="Wingdings" w:cstheme="minorBidi" w:hint="default"/>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D31797"/>
    <w:multiLevelType w:val="hybridMultilevel"/>
    <w:tmpl w:val="73923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763F5"/>
    <w:multiLevelType w:val="hybridMultilevel"/>
    <w:tmpl w:val="090C81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45AAC"/>
    <w:multiLevelType w:val="hybridMultilevel"/>
    <w:tmpl w:val="6016BB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3A3194"/>
    <w:multiLevelType w:val="hybridMultilevel"/>
    <w:tmpl w:val="64D26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594959"/>
    <w:multiLevelType w:val="hybridMultilevel"/>
    <w:tmpl w:val="8A822D00"/>
    <w:lvl w:ilvl="0" w:tplc="D59A2228">
      <w:start w:val="1"/>
      <w:numFmt w:val="decimal"/>
      <w:lvlText w:val="%1."/>
      <w:lvlJc w:val="left"/>
      <w:pPr>
        <w:ind w:left="644"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1041AC"/>
    <w:multiLevelType w:val="hybridMultilevel"/>
    <w:tmpl w:val="2C38EE2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66"/>
    <w:rsid w:val="00012920"/>
    <w:rsid w:val="0006655F"/>
    <w:rsid w:val="00080E83"/>
    <w:rsid w:val="00082B36"/>
    <w:rsid w:val="00082DFA"/>
    <w:rsid w:val="000A734F"/>
    <w:rsid w:val="000D25F2"/>
    <w:rsid w:val="000E3B3E"/>
    <w:rsid w:val="000F4559"/>
    <w:rsid w:val="00100A49"/>
    <w:rsid w:val="0010738B"/>
    <w:rsid w:val="0015646A"/>
    <w:rsid w:val="00163403"/>
    <w:rsid w:val="001A51ED"/>
    <w:rsid w:val="001B23EE"/>
    <w:rsid w:val="001B70FD"/>
    <w:rsid w:val="001D107D"/>
    <w:rsid w:val="001F1DEC"/>
    <w:rsid w:val="00231CE2"/>
    <w:rsid w:val="00233B7B"/>
    <w:rsid w:val="00264F8E"/>
    <w:rsid w:val="00291692"/>
    <w:rsid w:val="002F757C"/>
    <w:rsid w:val="00324B0D"/>
    <w:rsid w:val="003A6187"/>
    <w:rsid w:val="003A7DF1"/>
    <w:rsid w:val="003B7E3B"/>
    <w:rsid w:val="003C1526"/>
    <w:rsid w:val="003C5E43"/>
    <w:rsid w:val="003D7B67"/>
    <w:rsid w:val="003E5566"/>
    <w:rsid w:val="003F1CE0"/>
    <w:rsid w:val="00400DC3"/>
    <w:rsid w:val="00425BFD"/>
    <w:rsid w:val="00427ED1"/>
    <w:rsid w:val="0046103F"/>
    <w:rsid w:val="00461C8B"/>
    <w:rsid w:val="00471BDA"/>
    <w:rsid w:val="004A2A71"/>
    <w:rsid w:val="004B3C77"/>
    <w:rsid w:val="004D0577"/>
    <w:rsid w:val="004D0CC6"/>
    <w:rsid w:val="004D358D"/>
    <w:rsid w:val="004D42AD"/>
    <w:rsid w:val="004E036C"/>
    <w:rsid w:val="004F71C0"/>
    <w:rsid w:val="005049F2"/>
    <w:rsid w:val="0055272E"/>
    <w:rsid w:val="005676FE"/>
    <w:rsid w:val="005748F5"/>
    <w:rsid w:val="005A2C08"/>
    <w:rsid w:val="005C3D2C"/>
    <w:rsid w:val="005E6372"/>
    <w:rsid w:val="006035C1"/>
    <w:rsid w:val="006057DD"/>
    <w:rsid w:val="0064398E"/>
    <w:rsid w:val="006552B6"/>
    <w:rsid w:val="006643B5"/>
    <w:rsid w:val="00691AD3"/>
    <w:rsid w:val="006A0924"/>
    <w:rsid w:val="006B4C21"/>
    <w:rsid w:val="006C7E1A"/>
    <w:rsid w:val="006E66FB"/>
    <w:rsid w:val="00720815"/>
    <w:rsid w:val="00727D20"/>
    <w:rsid w:val="00791FD0"/>
    <w:rsid w:val="0079284A"/>
    <w:rsid w:val="007C64C9"/>
    <w:rsid w:val="007E76A1"/>
    <w:rsid w:val="008133EF"/>
    <w:rsid w:val="00867282"/>
    <w:rsid w:val="00885B58"/>
    <w:rsid w:val="00890D6E"/>
    <w:rsid w:val="008B4CA0"/>
    <w:rsid w:val="008E36A7"/>
    <w:rsid w:val="008E579B"/>
    <w:rsid w:val="009744BC"/>
    <w:rsid w:val="00981D11"/>
    <w:rsid w:val="009B5D7A"/>
    <w:rsid w:val="009D6A7B"/>
    <w:rsid w:val="009F1B83"/>
    <w:rsid w:val="00A0657C"/>
    <w:rsid w:val="00A33BE1"/>
    <w:rsid w:val="00A46473"/>
    <w:rsid w:val="00A511B5"/>
    <w:rsid w:val="00A62B40"/>
    <w:rsid w:val="00AD4985"/>
    <w:rsid w:val="00AF331E"/>
    <w:rsid w:val="00B0667B"/>
    <w:rsid w:val="00B2092C"/>
    <w:rsid w:val="00B71E09"/>
    <w:rsid w:val="00B928DA"/>
    <w:rsid w:val="00B94C91"/>
    <w:rsid w:val="00BC0B84"/>
    <w:rsid w:val="00BC5548"/>
    <w:rsid w:val="00BD26B9"/>
    <w:rsid w:val="00BE6230"/>
    <w:rsid w:val="00C42BBC"/>
    <w:rsid w:val="00C43C93"/>
    <w:rsid w:val="00C47BD4"/>
    <w:rsid w:val="00C94421"/>
    <w:rsid w:val="00CA39CB"/>
    <w:rsid w:val="00CA72C7"/>
    <w:rsid w:val="00CB70BC"/>
    <w:rsid w:val="00CC0D3C"/>
    <w:rsid w:val="00CC5FE7"/>
    <w:rsid w:val="00CE12F3"/>
    <w:rsid w:val="00CF6217"/>
    <w:rsid w:val="00D32518"/>
    <w:rsid w:val="00D568F9"/>
    <w:rsid w:val="00DA503F"/>
    <w:rsid w:val="00E02B33"/>
    <w:rsid w:val="00E31475"/>
    <w:rsid w:val="00E35AFC"/>
    <w:rsid w:val="00E73041"/>
    <w:rsid w:val="00E746AF"/>
    <w:rsid w:val="00E90AB2"/>
    <w:rsid w:val="00EB1993"/>
    <w:rsid w:val="00EB5C5E"/>
    <w:rsid w:val="00ED4A71"/>
    <w:rsid w:val="00F007A9"/>
    <w:rsid w:val="00F0797E"/>
    <w:rsid w:val="00F1184A"/>
    <w:rsid w:val="00F404D6"/>
    <w:rsid w:val="00FA2314"/>
    <w:rsid w:val="00FD15A5"/>
    <w:rsid w:val="00FE4D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66"/>
  </w:style>
  <w:style w:type="paragraph" w:styleId="Heading5">
    <w:name w:val="heading 5"/>
    <w:basedOn w:val="Normal"/>
    <w:next w:val="Normal"/>
    <w:link w:val="Heading5Char"/>
    <w:uiPriority w:val="9"/>
    <w:unhideWhenUsed/>
    <w:qFormat/>
    <w:rsid w:val="003E55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E55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55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E556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E5566"/>
    <w:pPr>
      <w:ind w:left="720"/>
      <w:contextualSpacing/>
    </w:pPr>
  </w:style>
  <w:style w:type="paragraph" w:styleId="FootnoteText">
    <w:name w:val="footnote text"/>
    <w:basedOn w:val="Normal"/>
    <w:link w:val="FootnoteTextChar"/>
    <w:uiPriority w:val="99"/>
    <w:semiHidden/>
    <w:unhideWhenUsed/>
    <w:rsid w:val="003E5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566"/>
    <w:rPr>
      <w:sz w:val="20"/>
      <w:szCs w:val="20"/>
    </w:rPr>
  </w:style>
  <w:style w:type="character" w:styleId="FootnoteReference">
    <w:name w:val="footnote reference"/>
    <w:basedOn w:val="DefaultParagraphFont"/>
    <w:uiPriority w:val="99"/>
    <w:semiHidden/>
    <w:unhideWhenUsed/>
    <w:rsid w:val="003E5566"/>
    <w:rPr>
      <w:vertAlign w:val="superscript"/>
    </w:rPr>
  </w:style>
  <w:style w:type="character" w:styleId="Hyperlink">
    <w:name w:val="Hyperlink"/>
    <w:basedOn w:val="DefaultParagraphFont"/>
    <w:uiPriority w:val="99"/>
    <w:unhideWhenUsed/>
    <w:rsid w:val="003E5566"/>
    <w:rPr>
      <w:color w:val="0563C1" w:themeColor="hyperlink"/>
      <w:u w:val="single"/>
    </w:rPr>
  </w:style>
  <w:style w:type="table" w:styleId="TableGrid">
    <w:name w:val="Table Grid"/>
    <w:basedOn w:val="TableNormal"/>
    <w:uiPriority w:val="39"/>
    <w:rsid w:val="003E5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566"/>
    <w:pPr>
      <w:autoSpaceDE w:val="0"/>
      <w:autoSpaceDN w:val="0"/>
      <w:adjustRightInd w:val="0"/>
      <w:spacing w:after="0" w:line="240" w:lineRule="auto"/>
    </w:pPr>
    <w:rPr>
      <w:rFonts w:ascii="Wingdings" w:hAnsi="Wingdings" w:cs="Wingdings"/>
      <w:color w:val="000000"/>
      <w:sz w:val="24"/>
      <w:szCs w:val="24"/>
    </w:rPr>
  </w:style>
  <w:style w:type="paragraph" w:styleId="BalloonText">
    <w:name w:val="Balloon Text"/>
    <w:basedOn w:val="Normal"/>
    <w:link w:val="BalloonTextChar"/>
    <w:uiPriority w:val="99"/>
    <w:semiHidden/>
    <w:unhideWhenUsed/>
    <w:rsid w:val="003E5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66"/>
    <w:rPr>
      <w:rFonts w:ascii="Segoe UI" w:hAnsi="Segoe UI" w:cs="Segoe UI"/>
      <w:sz w:val="18"/>
      <w:szCs w:val="18"/>
    </w:rPr>
  </w:style>
  <w:style w:type="character" w:customStyle="1" w:styleId="UnresolvedMention">
    <w:name w:val="Unresolved Mention"/>
    <w:basedOn w:val="DefaultParagraphFont"/>
    <w:uiPriority w:val="99"/>
    <w:semiHidden/>
    <w:unhideWhenUsed/>
    <w:rsid w:val="001F1DEC"/>
    <w:rPr>
      <w:color w:val="605E5C"/>
      <w:shd w:val="clear" w:color="auto" w:fill="E1DFDD"/>
    </w:rPr>
  </w:style>
  <w:style w:type="character" w:styleId="CommentReference">
    <w:name w:val="annotation reference"/>
    <w:basedOn w:val="DefaultParagraphFont"/>
    <w:uiPriority w:val="99"/>
    <w:semiHidden/>
    <w:unhideWhenUsed/>
    <w:rsid w:val="00233B7B"/>
    <w:rPr>
      <w:sz w:val="16"/>
      <w:szCs w:val="16"/>
    </w:rPr>
  </w:style>
  <w:style w:type="paragraph" w:styleId="CommentText">
    <w:name w:val="annotation text"/>
    <w:basedOn w:val="Normal"/>
    <w:link w:val="CommentTextChar"/>
    <w:uiPriority w:val="99"/>
    <w:semiHidden/>
    <w:unhideWhenUsed/>
    <w:rsid w:val="00233B7B"/>
    <w:pPr>
      <w:spacing w:line="240" w:lineRule="auto"/>
    </w:pPr>
    <w:rPr>
      <w:sz w:val="20"/>
      <w:szCs w:val="20"/>
    </w:rPr>
  </w:style>
  <w:style w:type="character" w:customStyle="1" w:styleId="CommentTextChar">
    <w:name w:val="Comment Text Char"/>
    <w:basedOn w:val="DefaultParagraphFont"/>
    <w:link w:val="CommentText"/>
    <w:uiPriority w:val="99"/>
    <w:semiHidden/>
    <w:rsid w:val="00233B7B"/>
    <w:rPr>
      <w:sz w:val="20"/>
      <w:szCs w:val="20"/>
    </w:rPr>
  </w:style>
  <w:style w:type="paragraph" w:styleId="CommentSubject">
    <w:name w:val="annotation subject"/>
    <w:basedOn w:val="CommentText"/>
    <w:next w:val="CommentText"/>
    <w:link w:val="CommentSubjectChar"/>
    <w:uiPriority w:val="99"/>
    <w:semiHidden/>
    <w:unhideWhenUsed/>
    <w:rsid w:val="007E76A1"/>
    <w:rPr>
      <w:b/>
      <w:bCs/>
    </w:rPr>
  </w:style>
  <w:style w:type="character" w:customStyle="1" w:styleId="CommentSubjectChar">
    <w:name w:val="Comment Subject Char"/>
    <w:basedOn w:val="CommentTextChar"/>
    <w:link w:val="CommentSubject"/>
    <w:uiPriority w:val="99"/>
    <w:semiHidden/>
    <w:rsid w:val="007E76A1"/>
    <w:rPr>
      <w:b/>
      <w:bCs/>
      <w:sz w:val="20"/>
      <w:szCs w:val="20"/>
    </w:rPr>
  </w:style>
  <w:style w:type="paragraph" w:styleId="Header">
    <w:name w:val="header"/>
    <w:basedOn w:val="Normal"/>
    <w:link w:val="HeaderChar"/>
    <w:uiPriority w:val="99"/>
    <w:unhideWhenUsed/>
    <w:rsid w:val="00B71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09"/>
  </w:style>
  <w:style w:type="paragraph" w:styleId="Footer">
    <w:name w:val="footer"/>
    <w:basedOn w:val="Normal"/>
    <w:link w:val="FooterChar"/>
    <w:uiPriority w:val="99"/>
    <w:unhideWhenUsed/>
    <w:rsid w:val="00B71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66"/>
  </w:style>
  <w:style w:type="paragraph" w:styleId="Heading5">
    <w:name w:val="heading 5"/>
    <w:basedOn w:val="Normal"/>
    <w:next w:val="Normal"/>
    <w:link w:val="Heading5Char"/>
    <w:uiPriority w:val="9"/>
    <w:unhideWhenUsed/>
    <w:qFormat/>
    <w:rsid w:val="003E55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E55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55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E556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E5566"/>
    <w:pPr>
      <w:ind w:left="720"/>
      <w:contextualSpacing/>
    </w:pPr>
  </w:style>
  <w:style w:type="paragraph" w:styleId="FootnoteText">
    <w:name w:val="footnote text"/>
    <w:basedOn w:val="Normal"/>
    <w:link w:val="FootnoteTextChar"/>
    <w:uiPriority w:val="99"/>
    <w:semiHidden/>
    <w:unhideWhenUsed/>
    <w:rsid w:val="003E5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566"/>
    <w:rPr>
      <w:sz w:val="20"/>
      <w:szCs w:val="20"/>
    </w:rPr>
  </w:style>
  <w:style w:type="character" w:styleId="FootnoteReference">
    <w:name w:val="footnote reference"/>
    <w:basedOn w:val="DefaultParagraphFont"/>
    <w:uiPriority w:val="99"/>
    <w:semiHidden/>
    <w:unhideWhenUsed/>
    <w:rsid w:val="003E5566"/>
    <w:rPr>
      <w:vertAlign w:val="superscript"/>
    </w:rPr>
  </w:style>
  <w:style w:type="character" w:styleId="Hyperlink">
    <w:name w:val="Hyperlink"/>
    <w:basedOn w:val="DefaultParagraphFont"/>
    <w:uiPriority w:val="99"/>
    <w:unhideWhenUsed/>
    <w:rsid w:val="003E5566"/>
    <w:rPr>
      <w:color w:val="0563C1" w:themeColor="hyperlink"/>
      <w:u w:val="single"/>
    </w:rPr>
  </w:style>
  <w:style w:type="table" w:styleId="TableGrid">
    <w:name w:val="Table Grid"/>
    <w:basedOn w:val="TableNormal"/>
    <w:uiPriority w:val="39"/>
    <w:rsid w:val="003E5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566"/>
    <w:pPr>
      <w:autoSpaceDE w:val="0"/>
      <w:autoSpaceDN w:val="0"/>
      <w:adjustRightInd w:val="0"/>
      <w:spacing w:after="0" w:line="240" w:lineRule="auto"/>
    </w:pPr>
    <w:rPr>
      <w:rFonts w:ascii="Wingdings" w:hAnsi="Wingdings" w:cs="Wingdings"/>
      <w:color w:val="000000"/>
      <w:sz w:val="24"/>
      <w:szCs w:val="24"/>
    </w:rPr>
  </w:style>
  <w:style w:type="paragraph" w:styleId="BalloonText">
    <w:name w:val="Balloon Text"/>
    <w:basedOn w:val="Normal"/>
    <w:link w:val="BalloonTextChar"/>
    <w:uiPriority w:val="99"/>
    <w:semiHidden/>
    <w:unhideWhenUsed/>
    <w:rsid w:val="003E5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66"/>
    <w:rPr>
      <w:rFonts w:ascii="Segoe UI" w:hAnsi="Segoe UI" w:cs="Segoe UI"/>
      <w:sz w:val="18"/>
      <w:szCs w:val="18"/>
    </w:rPr>
  </w:style>
  <w:style w:type="character" w:customStyle="1" w:styleId="UnresolvedMention">
    <w:name w:val="Unresolved Mention"/>
    <w:basedOn w:val="DefaultParagraphFont"/>
    <w:uiPriority w:val="99"/>
    <w:semiHidden/>
    <w:unhideWhenUsed/>
    <w:rsid w:val="001F1DEC"/>
    <w:rPr>
      <w:color w:val="605E5C"/>
      <w:shd w:val="clear" w:color="auto" w:fill="E1DFDD"/>
    </w:rPr>
  </w:style>
  <w:style w:type="character" w:styleId="CommentReference">
    <w:name w:val="annotation reference"/>
    <w:basedOn w:val="DefaultParagraphFont"/>
    <w:uiPriority w:val="99"/>
    <w:semiHidden/>
    <w:unhideWhenUsed/>
    <w:rsid w:val="00233B7B"/>
    <w:rPr>
      <w:sz w:val="16"/>
      <w:szCs w:val="16"/>
    </w:rPr>
  </w:style>
  <w:style w:type="paragraph" w:styleId="CommentText">
    <w:name w:val="annotation text"/>
    <w:basedOn w:val="Normal"/>
    <w:link w:val="CommentTextChar"/>
    <w:uiPriority w:val="99"/>
    <w:semiHidden/>
    <w:unhideWhenUsed/>
    <w:rsid w:val="00233B7B"/>
    <w:pPr>
      <w:spacing w:line="240" w:lineRule="auto"/>
    </w:pPr>
    <w:rPr>
      <w:sz w:val="20"/>
      <w:szCs w:val="20"/>
    </w:rPr>
  </w:style>
  <w:style w:type="character" w:customStyle="1" w:styleId="CommentTextChar">
    <w:name w:val="Comment Text Char"/>
    <w:basedOn w:val="DefaultParagraphFont"/>
    <w:link w:val="CommentText"/>
    <w:uiPriority w:val="99"/>
    <w:semiHidden/>
    <w:rsid w:val="00233B7B"/>
    <w:rPr>
      <w:sz w:val="20"/>
      <w:szCs w:val="20"/>
    </w:rPr>
  </w:style>
  <w:style w:type="paragraph" w:styleId="CommentSubject">
    <w:name w:val="annotation subject"/>
    <w:basedOn w:val="CommentText"/>
    <w:next w:val="CommentText"/>
    <w:link w:val="CommentSubjectChar"/>
    <w:uiPriority w:val="99"/>
    <w:semiHidden/>
    <w:unhideWhenUsed/>
    <w:rsid w:val="007E76A1"/>
    <w:rPr>
      <w:b/>
      <w:bCs/>
    </w:rPr>
  </w:style>
  <w:style w:type="character" w:customStyle="1" w:styleId="CommentSubjectChar">
    <w:name w:val="Comment Subject Char"/>
    <w:basedOn w:val="CommentTextChar"/>
    <w:link w:val="CommentSubject"/>
    <w:uiPriority w:val="99"/>
    <w:semiHidden/>
    <w:rsid w:val="007E76A1"/>
    <w:rPr>
      <w:b/>
      <w:bCs/>
      <w:sz w:val="20"/>
      <w:szCs w:val="20"/>
    </w:rPr>
  </w:style>
  <w:style w:type="paragraph" w:styleId="Header">
    <w:name w:val="header"/>
    <w:basedOn w:val="Normal"/>
    <w:link w:val="HeaderChar"/>
    <w:uiPriority w:val="99"/>
    <w:unhideWhenUsed/>
    <w:rsid w:val="00B71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09"/>
  </w:style>
  <w:style w:type="paragraph" w:styleId="Footer">
    <w:name w:val="footer"/>
    <w:basedOn w:val="Normal"/>
    <w:link w:val="FooterChar"/>
    <w:uiPriority w:val="99"/>
    <w:unhideWhenUsed/>
    <w:rsid w:val="00B71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globalprivacyassembl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privacyassembly.org/the-assembly-and-executive-committee/strategic-direction-mission-and-vi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globalprivacyassembly.org/privacy-not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cdppc.org/wp-content/uploads/2017/09/ICDPPC-Census-Report-1.pdf" TargetMode="External"/><Relationship Id="rId1" Type="http://schemas.openxmlformats.org/officeDocument/2006/relationships/hyperlink" Target="https://globalprivacyassembly.org/wp-content/uploads/2019/11/ICDPPC-Reference-Panel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47FE8AFBA734E92B2C19B7E176AD4" ma:contentTypeVersion="12" ma:contentTypeDescription="Create a new document." ma:contentTypeScope="" ma:versionID="bf9384fe4b5c7bc04cd68246961afb0b">
  <xsd:schema xmlns:xsd="http://www.w3.org/2001/XMLSchema" xmlns:xs="http://www.w3.org/2001/XMLSchema" xmlns:p="http://schemas.microsoft.com/office/2006/metadata/properties" xmlns:ns2="cae4c571-70c4-4f0a-9fdc-93eb6759726f" xmlns:ns3="98d2b987-a578-4066-902c-c3c2199684d7" targetNamespace="http://schemas.microsoft.com/office/2006/metadata/properties" ma:root="true" ma:fieldsID="dba0351c29775307664ec2cc4a91c5d7" ns2:_="" ns3:_="">
    <xsd:import namespace="cae4c571-70c4-4f0a-9fdc-93eb6759726f"/>
    <xsd:import namespace="98d2b987-a578-4066-902c-c3c219968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c571-70c4-4f0a-9fdc-93eb6759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2b987-a578-4066-902c-c3c219968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01E7E-C7C9-4FDE-BB18-55FF64FB4FE1}">
  <ds:schemaRefs>
    <ds:schemaRef ds:uri="http://schemas.microsoft.com/sharepoint/v3/contenttype/forms"/>
  </ds:schemaRefs>
</ds:datastoreItem>
</file>

<file path=customXml/itemProps2.xml><?xml version="1.0" encoding="utf-8"?>
<ds:datastoreItem xmlns:ds="http://schemas.openxmlformats.org/officeDocument/2006/customXml" ds:itemID="{B1C3659C-BB8E-4353-86CE-A5E5B8D58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C89107-9CB6-4672-B164-F41461933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c571-70c4-4f0a-9fdc-93eb6759726f"/>
    <ds:schemaRef ds:uri="98d2b987-a578-4066-902c-c3c21996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Marinaro</dc:creator>
  <cp:lastModifiedBy>Admin</cp:lastModifiedBy>
  <cp:revision>2</cp:revision>
  <dcterms:created xsi:type="dcterms:W3CDTF">2021-01-22T14:04:00Z</dcterms:created>
  <dcterms:modified xsi:type="dcterms:W3CDTF">2021-01-22T14:04:00Z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0x01010061C47FE8AFBA734E92B2C19B7E176AD4</vt:lpwstr>
  </property>
</Properties>
</file>