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1EFE9" w14:textId="050A3116" w:rsidR="00E75B48" w:rsidRPr="0034654F" w:rsidRDefault="0034654F" w:rsidP="0034654F">
      <w:pPr>
        <w:rPr>
          <w:rFonts w:cstheme="minorHAnsi"/>
          <w:b/>
          <w:bCs/>
          <w:sz w:val="40"/>
          <w:szCs w:val="40"/>
        </w:rPr>
      </w:pPr>
      <w:r>
        <w:rPr>
          <w:noProof/>
        </w:rPr>
        <w:drawing>
          <wp:anchor distT="0" distB="0" distL="114300" distR="114300" simplePos="0" relativeHeight="251659264" behindDoc="0" locked="0" layoutInCell="1" allowOverlap="1" wp14:anchorId="222491E5" wp14:editId="6D27D69E">
            <wp:simplePos x="0" y="0"/>
            <wp:positionH relativeFrom="page">
              <wp:align>right</wp:align>
            </wp:positionH>
            <wp:positionV relativeFrom="page">
              <wp:align>bottom</wp:align>
            </wp:positionV>
            <wp:extent cx="7558405" cy="10687050"/>
            <wp:effectExtent l="0" t="0" r="4445" b="0"/>
            <wp:wrapNone/>
            <wp:docPr id="3" name="Picture 1" descr="A picture contain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igh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8405" cy="10687050"/>
                    </a:xfrm>
                    <a:prstGeom prst="rect">
                      <a:avLst/>
                    </a:prstGeom>
                    <a:noFill/>
                  </pic:spPr>
                </pic:pic>
              </a:graphicData>
            </a:graphic>
            <wp14:sizeRelH relativeFrom="margin">
              <wp14:pctWidth>0</wp14:pctWidth>
            </wp14:sizeRelH>
            <wp14:sizeRelV relativeFrom="margin">
              <wp14:pctHeight>0</wp14:pctHeight>
            </wp14:sizeRelV>
          </wp:anchor>
        </w:drawing>
      </w:r>
    </w:p>
    <w:p w14:paraId="4EB20D30" w14:textId="698A9886" w:rsidR="008B6E94" w:rsidRDefault="008B6E94" w:rsidP="00392A61">
      <w:pPr>
        <w:rPr>
          <w:rFonts w:cstheme="minorHAnsi"/>
          <w:sz w:val="24"/>
          <w:szCs w:val="24"/>
        </w:rPr>
      </w:pPr>
    </w:p>
    <w:p w14:paraId="294B5E7F" w14:textId="5EE499B5" w:rsidR="00D05426" w:rsidRPr="008E71FC" w:rsidRDefault="0034654F" w:rsidP="003142BE">
      <w:pPr>
        <w:rPr>
          <w:rFonts w:cstheme="minorHAnsi"/>
          <w:sz w:val="24"/>
          <w:szCs w:val="24"/>
        </w:rPr>
      </w:pPr>
      <w:r>
        <w:rPr>
          <w:noProof/>
        </w:rPr>
        <mc:AlternateContent>
          <mc:Choice Requires="wps">
            <w:drawing>
              <wp:anchor distT="45720" distB="45720" distL="114300" distR="114300" simplePos="0" relativeHeight="251661312" behindDoc="0" locked="0" layoutInCell="1" allowOverlap="1" wp14:anchorId="691A4541" wp14:editId="2A20B92F">
                <wp:simplePos x="0" y="0"/>
                <wp:positionH relativeFrom="margin">
                  <wp:align>left</wp:align>
                </wp:positionH>
                <wp:positionV relativeFrom="paragraph">
                  <wp:posOffset>1778748</wp:posOffset>
                </wp:positionV>
                <wp:extent cx="5723890" cy="3816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3816985"/>
                        </a:xfrm>
                        <a:prstGeom prst="rect">
                          <a:avLst/>
                        </a:prstGeom>
                        <a:noFill/>
                        <a:ln w="9525">
                          <a:noFill/>
                          <a:miter lim="800000"/>
                          <a:headEnd/>
                          <a:tailEnd/>
                        </a:ln>
                      </wps:spPr>
                      <wps:txbx>
                        <w:txbxContent>
                          <w:p w14:paraId="71047212" w14:textId="77777777" w:rsidR="000B0B14" w:rsidRDefault="000B0B14" w:rsidP="000B0B14">
                            <w:pPr>
                              <w:pStyle w:val="Title"/>
                              <w:rPr>
                                <w:sz w:val="56"/>
                              </w:rPr>
                            </w:pPr>
                          </w:p>
                          <w:p w14:paraId="5299086F" w14:textId="77777777" w:rsidR="000B0B14" w:rsidRDefault="000B0B14" w:rsidP="000B0B14">
                            <w:pPr>
                              <w:pStyle w:val="Title"/>
                              <w:rPr>
                                <w:sz w:val="56"/>
                              </w:rPr>
                            </w:pPr>
                            <w:r w:rsidRPr="00704937">
                              <w:rPr>
                                <w:sz w:val="56"/>
                              </w:rPr>
                              <w:t xml:space="preserve">Resolution on Achieving global data protection standards: Principles for ensuring </w:t>
                            </w:r>
                            <w:proofErr w:type="gramStart"/>
                            <w:r w:rsidRPr="00704937">
                              <w:rPr>
                                <w:sz w:val="56"/>
                              </w:rPr>
                              <w:t>high levels</w:t>
                            </w:r>
                            <w:proofErr w:type="gramEnd"/>
                            <w:r w:rsidRPr="00704937">
                              <w:rPr>
                                <w:sz w:val="56"/>
                              </w:rPr>
                              <w:t xml:space="preserve"> of data protection and</w:t>
                            </w:r>
                            <w:r>
                              <w:rPr>
                                <w:sz w:val="56"/>
                              </w:rPr>
                              <w:t xml:space="preserve"> privacy worldwide</w:t>
                            </w:r>
                          </w:p>
                          <w:p w14:paraId="53E579BE" w14:textId="77777777" w:rsidR="000B0B14" w:rsidRPr="00A54460" w:rsidRDefault="000B0B14" w:rsidP="000B0B14"/>
                          <w:p w14:paraId="257C4BB0" w14:textId="77777777" w:rsidR="000B0B14" w:rsidRPr="00A04F4E" w:rsidRDefault="000B0B14" w:rsidP="000B0B14">
                            <w:pPr>
                              <w:rPr>
                                <w:rFonts w:ascii="Calibri Light" w:eastAsia="Times New Roman" w:hAnsi="Calibri Light" w:cs="Times New Roman"/>
                                <w:b/>
                                <w:color w:val="FFFFFF"/>
                                <w:spacing w:val="-10"/>
                                <w:kern w:val="28"/>
                                <w:sz w:val="56"/>
                                <w:szCs w:val="56"/>
                                <w14:ligatures w14:val="none"/>
                              </w:rPr>
                            </w:pPr>
                            <w:r w:rsidRPr="00A04F4E">
                              <w:rPr>
                                <w:rFonts w:ascii="Calibri Light" w:eastAsia="Times New Roman" w:hAnsi="Calibri Light" w:cs="Times New Roman"/>
                                <w:b/>
                                <w:color w:val="FFFFFF"/>
                                <w:spacing w:val="-10"/>
                                <w:kern w:val="28"/>
                                <w:sz w:val="56"/>
                                <w:szCs w:val="56"/>
                                <w14:ligatures w14:val="none"/>
                              </w:rPr>
                              <w:t>FAQ</w:t>
                            </w:r>
                            <w:r>
                              <w:rPr>
                                <w:rFonts w:ascii="Calibri Light" w:eastAsia="Times New Roman" w:hAnsi="Calibri Light" w:cs="Times New Roman"/>
                                <w:b/>
                                <w:color w:val="FFFFFF"/>
                                <w:spacing w:val="-10"/>
                                <w:kern w:val="28"/>
                                <w:sz w:val="56"/>
                                <w:szCs w:val="56"/>
                                <w14:ligatures w14:val="none"/>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A4541" id="_x0000_t202" coordsize="21600,21600" o:spt="202" path="m,l,21600r21600,l21600,xe">
                <v:stroke joinstyle="miter"/>
                <v:path gradientshapeok="t" o:connecttype="rect"/>
              </v:shapetype>
              <v:shape id="Text Box 2" o:spid="_x0000_s1026" type="#_x0000_t202" style="position:absolute;margin-left:0;margin-top:140.05pt;width:450.7pt;height:300.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" filled="f" stroked="f">
                <v:textbox>
                  <w:txbxContent>
                    <w:p w14:paraId="71047212" w14:textId="77777777" w:rsidR="000B0B14" w:rsidRDefault="000B0B14" w:rsidP="000B0B14">
                      <w:pPr>
                        <w:pStyle w:val="Title"/>
                        <w:rPr>
                          <w:sz w:val="56"/>
                        </w:rPr>
                      </w:pPr>
                    </w:p>
                    <w:p w14:paraId="5299086F" w14:textId="77777777" w:rsidR="000B0B14" w:rsidRDefault="000B0B14" w:rsidP="000B0B14">
                      <w:pPr>
                        <w:pStyle w:val="Title"/>
                        <w:rPr>
                          <w:sz w:val="56"/>
                        </w:rPr>
                      </w:pPr>
                      <w:r w:rsidRPr="00704937">
                        <w:rPr>
                          <w:sz w:val="56"/>
                        </w:rPr>
                        <w:t xml:space="preserve">Resolution on Achieving global data protection standards: Principles for ensuring </w:t>
                      </w:r>
                      <w:proofErr w:type="gramStart"/>
                      <w:r w:rsidRPr="00704937">
                        <w:rPr>
                          <w:sz w:val="56"/>
                        </w:rPr>
                        <w:t>high levels</w:t>
                      </w:r>
                      <w:proofErr w:type="gramEnd"/>
                      <w:r w:rsidRPr="00704937">
                        <w:rPr>
                          <w:sz w:val="56"/>
                        </w:rPr>
                        <w:t xml:space="preserve"> of data protection and</w:t>
                      </w:r>
                      <w:r>
                        <w:rPr>
                          <w:sz w:val="56"/>
                        </w:rPr>
                        <w:t xml:space="preserve"> privacy worldwide</w:t>
                      </w:r>
                    </w:p>
                    <w:p w14:paraId="53E579BE" w14:textId="77777777" w:rsidR="000B0B14" w:rsidRPr="00A54460" w:rsidRDefault="000B0B14" w:rsidP="000B0B14"/>
                    <w:p w14:paraId="257C4BB0" w14:textId="77777777" w:rsidR="000B0B14" w:rsidRPr="00A04F4E" w:rsidRDefault="000B0B14" w:rsidP="000B0B14">
                      <w:pPr>
                        <w:rPr>
                          <w:rFonts w:ascii="Calibri Light" w:eastAsia="Times New Roman" w:hAnsi="Calibri Light" w:cs="Times New Roman"/>
                          <w:b/>
                          <w:color w:val="FFFFFF"/>
                          <w:spacing w:val="-10"/>
                          <w:kern w:val="28"/>
                          <w:sz w:val="56"/>
                          <w:szCs w:val="56"/>
                          <w14:ligatures w14:val="none"/>
                        </w:rPr>
                      </w:pPr>
                      <w:r w:rsidRPr="00A04F4E">
                        <w:rPr>
                          <w:rFonts w:ascii="Calibri Light" w:eastAsia="Times New Roman" w:hAnsi="Calibri Light" w:cs="Times New Roman"/>
                          <w:b/>
                          <w:color w:val="FFFFFF"/>
                          <w:spacing w:val="-10"/>
                          <w:kern w:val="28"/>
                          <w:sz w:val="56"/>
                          <w:szCs w:val="56"/>
                          <w14:ligatures w14:val="none"/>
                        </w:rPr>
                        <w:t>FAQ</w:t>
                      </w:r>
                      <w:r>
                        <w:rPr>
                          <w:rFonts w:ascii="Calibri Light" w:eastAsia="Times New Roman" w:hAnsi="Calibri Light" w:cs="Times New Roman"/>
                          <w:b/>
                          <w:color w:val="FFFFFF"/>
                          <w:spacing w:val="-10"/>
                          <w:kern w:val="28"/>
                          <w:sz w:val="56"/>
                          <w:szCs w:val="56"/>
                          <w14:ligatures w14:val="none"/>
                        </w:rPr>
                        <w:t>s</w:t>
                      </w:r>
                    </w:p>
                  </w:txbxContent>
                </v:textbox>
                <w10:wrap type="square" anchorx="margin"/>
              </v:shape>
            </w:pict>
          </mc:Fallback>
        </mc:AlternateContent>
      </w:r>
      <w:r w:rsidR="00392A61">
        <w:rPr>
          <w:rFonts w:cstheme="minorHAnsi"/>
          <w:sz w:val="24"/>
          <w:szCs w:val="24"/>
        </w:rPr>
        <w:br w:type="page"/>
      </w:r>
      <w:r w:rsidR="00B86CD3" w:rsidRPr="00B86CD3">
        <w:rPr>
          <w:rFonts w:cstheme="minorHAnsi"/>
          <w:b/>
          <w:bCs/>
          <w:sz w:val="32"/>
          <w:szCs w:val="32"/>
        </w:rPr>
        <w:lastRenderedPageBreak/>
        <w:t>Resolution on achieving global data protection standards</w:t>
      </w:r>
      <w:r w:rsidR="00B86CD3">
        <w:rPr>
          <w:rFonts w:cstheme="minorHAnsi"/>
          <w:b/>
          <w:bCs/>
          <w:sz w:val="32"/>
          <w:szCs w:val="32"/>
        </w:rPr>
        <w:t>:</w:t>
      </w:r>
      <w:r w:rsidR="00B86CD3" w:rsidRPr="00B86CD3">
        <w:rPr>
          <w:rFonts w:cstheme="minorHAnsi"/>
          <w:b/>
          <w:bCs/>
          <w:sz w:val="32"/>
          <w:szCs w:val="32"/>
        </w:rPr>
        <w:t xml:space="preserve"> </w:t>
      </w:r>
      <w:r w:rsidR="00D05426" w:rsidRPr="00B86CD3">
        <w:rPr>
          <w:rFonts w:cstheme="minorHAnsi"/>
          <w:b/>
          <w:bCs/>
          <w:sz w:val="32"/>
          <w:szCs w:val="32"/>
        </w:rPr>
        <w:t>FAQs</w:t>
      </w:r>
    </w:p>
    <w:p w14:paraId="1F67A10F" w14:textId="7D2C2EEC" w:rsidR="00D05426" w:rsidRPr="00A5123C" w:rsidRDefault="00D05426" w:rsidP="00D05426">
      <w:pPr>
        <w:pStyle w:val="ListParagraph"/>
        <w:numPr>
          <w:ilvl w:val="0"/>
          <w:numId w:val="3"/>
        </w:numPr>
        <w:rPr>
          <w:rFonts w:eastAsia="Times New Roman" w:cstheme="minorHAnsi"/>
          <w:bCs/>
          <w:color w:val="060D59"/>
          <w:kern w:val="0"/>
          <w:sz w:val="28"/>
          <w:szCs w:val="28"/>
          <w14:ligatures w14:val="none"/>
        </w:rPr>
      </w:pPr>
      <w:r w:rsidRPr="00A5123C">
        <w:rPr>
          <w:rFonts w:eastAsia="Times New Roman" w:cstheme="minorHAnsi"/>
          <w:bCs/>
          <w:color w:val="060D59"/>
          <w:kern w:val="0"/>
          <w:sz w:val="28"/>
          <w:szCs w:val="28"/>
          <w14:ligatures w14:val="none"/>
        </w:rPr>
        <w:t xml:space="preserve">What is the aim of the 2023 GPA Resolution on Achieving global data protection standards: Principles to ensure </w:t>
      </w:r>
      <w:proofErr w:type="gramStart"/>
      <w:r w:rsidRPr="00A5123C">
        <w:rPr>
          <w:rFonts w:eastAsia="Times New Roman" w:cstheme="minorHAnsi"/>
          <w:bCs/>
          <w:color w:val="060D59"/>
          <w:kern w:val="0"/>
          <w:sz w:val="28"/>
          <w:szCs w:val="28"/>
          <w14:ligatures w14:val="none"/>
        </w:rPr>
        <w:t>high levels</w:t>
      </w:r>
      <w:proofErr w:type="gramEnd"/>
      <w:r w:rsidRPr="00A5123C">
        <w:rPr>
          <w:rFonts w:eastAsia="Times New Roman" w:cstheme="minorHAnsi"/>
          <w:bCs/>
          <w:color w:val="060D59"/>
          <w:kern w:val="0"/>
          <w:sz w:val="28"/>
          <w:szCs w:val="28"/>
          <w14:ligatures w14:val="none"/>
        </w:rPr>
        <w:t xml:space="preserve"> of data protection and privacy worldwide? </w:t>
      </w:r>
    </w:p>
    <w:p w14:paraId="4764C815" w14:textId="2E4399E7" w:rsidR="00D05426" w:rsidRDefault="001423B9" w:rsidP="00D05426">
      <w:pPr>
        <w:rPr>
          <w:rFonts w:cstheme="minorHAnsi"/>
          <w:sz w:val="24"/>
          <w:szCs w:val="24"/>
        </w:rPr>
      </w:pPr>
      <w:r>
        <w:rPr>
          <w:rFonts w:cstheme="minorHAnsi"/>
          <w:sz w:val="24"/>
          <w:szCs w:val="24"/>
        </w:rPr>
        <w:t xml:space="preserve">The </w:t>
      </w:r>
      <w:r w:rsidR="00E90C33">
        <w:rPr>
          <w:rFonts w:cstheme="minorHAnsi"/>
          <w:sz w:val="24"/>
          <w:szCs w:val="24"/>
        </w:rPr>
        <w:t>R</w:t>
      </w:r>
      <w:r>
        <w:rPr>
          <w:rFonts w:cstheme="minorHAnsi"/>
          <w:sz w:val="24"/>
          <w:szCs w:val="24"/>
        </w:rPr>
        <w:t>esolution</w:t>
      </w:r>
      <w:r w:rsidR="00E969DF">
        <w:rPr>
          <w:rStyle w:val="FootnoteReference"/>
          <w:rFonts w:cstheme="minorHAnsi"/>
          <w:sz w:val="24"/>
          <w:szCs w:val="24"/>
        </w:rPr>
        <w:footnoteReference w:id="1"/>
      </w:r>
      <w:r>
        <w:rPr>
          <w:rFonts w:cstheme="minorHAnsi"/>
          <w:sz w:val="24"/>
          <w:szCs w:val="24"/>
        </w:rPr>
        <w:t xml:space="preserve"> aims to</w:t>
      </w:r>
      <w:r w:rsidR="00D05426" w:rsidRPr="00A5123C">
        <w:rPr>
          <w:rFonts w:cstheme="minorHAnsi"/>
          <w:sz w:val="24"/>
          <w:szCs w:val="24"/>
        </w:rPr>
        <w:t xml:space="preserve"> positively impact global data protection law, policy and practice, by setting out </w:t>
      </w:r>
      <w:r w:rsidR="00F66452">
        <w:rPr>
          <w:rFonts w:cstheme="minorHAnsi"/>
          <w:sz w:val="24"/>
          <w:szCs w:val="24"/>
        </w:rPr>
        <w:t>the key</w:t>
      </w:r>
      <w:r w:rsidR="00D05426" w:rsidRPr="00D05426">
        <w:rPr>
          <w:rFonts w:cstheme="minorHAnsi"/>
          <w:sz w:val="24"/>
          <w:szCs w:val="24"/>
        </w:rPr>
        <w:t xml:space="preserve"> principles, rights and other elements that GPA members agree are important</w:t>
      </w:r>
      <w:r w:rsidR="00F93561">
        <w:rPr>
          <w:rFonts w:cstheme="minorHAnsi"/>
          <w:sz w:val="24"/>
          <w:szCs w:val="24"/>
        </w:rPr>
        <w:t xml:space="preserve"> to achieve </w:t>
      </w:r>
      <w:r w:rsidR="00E002A0">
        <w:rPr>
          <w:rFonts w:cstheme="minorHAnsi"/>
          <w:sz w:val="24"/>
          <w:szCs w:val="24"/>
        </w:rPr>
        <w:t>high data protection standards</w:t>
      </w:r>
      <w:r w:rsidR="00D05426" w:rsidRPr="00D05426">
        <w:rPr>
          <w:rFonts w:cstheme="minorHAnsi"/>
          <w:sz w:val="24"/>
          <w:szCs w:val="24"/>
        </w:rPr>
        <w:t xml:space="preserve"> </w:t>
      </w:r>
      <w:r w:rsidR="00E002A0">
        <w:rPr>
          <w:rFonts w:cstheme="minorHAnsi"/>
          <w:sz w:val="24"/>
          <w:szCs w:val="24"/>
        </w:rPr>
        <w:t xml:space="preserve">in today’s digital economy </w:t>
      </w:r>
      <w:r w:rsidR="00D05426" w:rsidRPr="00D05426">
        <w:rPr>
          <w:rFonts w:cstheme="minorHAnsi"/>
          <w:sz w:val="24"/>
          <w:szCs w:val="24"/>
        </w:rPr>
        <w:t xml:space="preserve">and </w:t>
      </w:r>
      <w:r w:rsidR="004B370F">
        <w:rPr>
          <w:rFonts w:cstheme="minorHAnsi"/>
          <w:sz w:val="24"/>
          <w:szCs w:val="24"/>
        </w:rPr>
        <w:t xml:space="preserve">that </w:t>
      </w:r>
      <w:r w:rsidR="00D05426" w:rsidRPr="00D05426">
        <w:rPr>
          <w:rFonts w:cstheme="minorHAnsi"/>
          <w:sz w:val="24"/>
          <w:szCs w:val="24"/>
        </w:rPr>
        <w:t>should be implemented</w:t>
      </w:r>
      <w:r w:rsidR="00323F28">
        <w:rPr>
          <w:rFonts w:cstheme="minorHAnsi"/>
          <w:sz w:val="24"/>
          <w:szCs w:val="24"/>
        </w:rPr>
        <w:t xml:space="preserve"> in data protection laws, policies and practices worldwide</w:t>
      </w:r>
      <w:r w:rsidR="00D05426" w:rsidRPr="00D05426">
        <w:rPr>
          <w:rFonts w:cstheme="minorHAnsi"/>
          <w:sz w:val="24"/>
          <w:szCs w:val="24"/>
        </w:rPr>
        <w:t xml:space="preserve">. </w:t>
      </w:r>
    </w:p>
    <w:p w14:paraId="5E1509B1" w14:textId="77777777" w:rsidR="007F7328" w:rsidRDefault="007F7328" w:rsidP="00D05426">
      <w:pPr>
        <w:rPr>
          <w:rFonts w:cstheme="minorHAnsi"/>
          <w:sz w:val="24"/>
          <w:szCs w:val="24"/>
        </w:rPr>
      </w:pPr>
    </w:p>
    <w:p w14:paraId="6E54F5BA" w14:textId="612A429A" w:rsidR="00451043" w:rsidRPr="007F7328" w:rsidRDefault="00945839" w:rsidP="00451043">
      <w:pPr>
        <w:pStyle w:val="ListParagraph"/>
        <w:numPr>
          <w:ilvl w:val="0"/>
          <w:numId w:val="3"/>
        </w:numPr>
        <w:rPr>
          <w:rFonts w:eastAsia="Times New Roman" w:cstheme="minorHAnsi"/>
          <w:bCs/>
          <w:color w:val="060D59"/>
          <w:kern w:val="0"/>
          <w:sz w:val="28"/>
          <w:szCs w:val="28"/>
          <w14:ligatures w14:val="none"/>
        </w:rPr>
      </w:pPr>
      <w:r w:rsidRPr="007F7328">
        <w:rPr>
          <w:rFonts w:eastAsia="Times New Roman" w:cstheme="minorHAnsi"/>
          <w:bCs/>
          <w:color w:val="060D59"/>
          <w:kern w:val="0"/>
          <w:sz w:val="28"/>
          <w:szCs w:val="28"/>
          <w14:ligatures w14:val="none"/>
        </w:rPr>
        <w:t xml:space="preserve">Why is the </w:t>
      </w:r>
      <w:r w:rsidR="00E90C33">
        <w:rPr>
          <w:rFonts w:eastAsia="Times New Roman" w:cstheme="minorHAnsi"/>
          <w:bCs/>
          <w:color w:val="060D59"/>
          <w:kern w:val="0"/>
          <w:sz w:val="28"/>
          <w:szCs w:val="28"/>
          <w14:ligatures w14:val="none"/>
        </w:rPr>
        <w:t>R</w:t>
      </w:r>
      <w:r w:rsidRPr="007F7328">
        <w:rPr>
          <w:rFonts w:eastAsia="Times New Roman" w:cstheme="minorHAnsi"/>
          <w:bCs/>
          <w:color w:val="060D59"/>
          <w:kern w:val="0"/>
          <w:sz w:val="28"/>
          <w:szCs w:val="28"/>
          <w14:ligatures w14:val="none"/>
        </w:rPr>
        <w:t>esolution important?</w:t>
      </w:r>
    </w:p>
    <w:p w14:paraId="65A190F1" w14:textId="77777777" w:rsidR="007F7328" w:rsidRPr="007F7328" w:rsidRDefault="007F7328" w:rsidP="007F7328">
      <w:pPr>
        <w:spacing w:after="0" w:line="240" w:lineRule="auto"/>
        <w:textAlignment w:val="center"/>
        <w:rPr>
          <w:rFonts w:eastAsia="Times New Roman" w:cstheme="minorHAnsi"/>
          <w:kern w:val="0"/>
          <w:sz w:val="24"/>
          <w:szCs w:val="24"/>
          <w:lang w:eastAsia="en-GB"/>
          <w14:ligatures w14:val="none"/>
        </w:rPr>
      </w:pPr>
      <w:r w:rsidRPr="007F7328">
        <w:rPr>
          <w:rFonts w:eastAsia="Times New Roman" w:cstheme="minorHAnsi"/>
          <w:kern w:val="0"/>
          <w:sz w:val="24"/>
          <w:szCs w:val="24"/>
          <w:lang w:eastAsia="en-GB"/>
          <w14:ligatures w14:val="none"/>
        </w:rPr>
        <w:t>High global data protection standards are vital to provide increased protections for people and certainty for organisations, wherever personal data flows.</w:t>
      </w:r>
    </w:p>
    <w:p w14:paraId="024261B2" w14:textId="77777777" w:rsidR="007F7328" w:rsidRPr="007F7328" w:rsidRDefault="007F7328" w:rsidP="007F7328">
      <w:pPr>
        <w:spacing w:after="0" w:line="240" w:lineRule="auto"/>
        <w:ind w:left="720"/>
        <w:textAlignment w:val="center"/>
        <w:rPr>
          <w:rFonts w:eastAsia="Times New Roman" w:cstheme="minorHAnsi"/>
          <w:kern w:val="0"/>
          <w:sz w:val="24"/>
          <w:szCs w:val="24"/>
          <w:lang w:eastAsia="en-GB"/>
          <w14:ligatures w14:val="none"/>
        </w:rPr>
      </w:pPr>
    </w:p>
    <w:p w14:paraId="47AA8B9B" w14:textId="13233738" w:rsidR="007F7328" w:rsidRPr="007F7328" w:rsidRDefault="007F7328" w:rsidP="007F7328">
      <w:pPr>
        <w:spacing w:after="0" w:line="240" w:lineRule="auto"/>
        <w:textAlignment w:val="center"/>
        <w:rPr>
          <w:rFonts w:eastAsia="Times New Roman" w:cstheme="minorHAnsi"/>
          <w:kern w:val="0"/>
          <w:sz w:val="24"/>
          <w:szCs w:val="24"/>
          <w:lang w:eastAsia="en-GB"/>
          <w14:ligatures w14:val="none"/>
        </w:rPr>
      </w:pPr>
      <w:r w:rsidRPr="007F7328">
        <w:rPr>
          <w:rFonts w:eastAsia="Times New Roman" w:cstheme="minorHAnsi"/>
          <w:kern w:val="0"/>
          <w:sz w:val="24"/>
          <w:szCs w:val="24"/>
          <w:lang w:eastAsia="en-GB"/>
          <w14:ligatures w14:val="none"/>
        </w:rPr>
        <w:t xml:space="preserve">The 130+ members of the GPA unanimously agreed the resolution in October 2023 – so the resolution demonstrates </w:t>
      </w:r>
      <w:proofErr w:type="gramStart"/>
      <w:r w:rsidRPr="007F7328">
        <w:rPr>
          <w:rFonts w:eastAsia="Times New Roman" w:cstheme="minorHAnsi"/>
          <w:kern w:val="0"/>
          <w:sz w:val="24"/>
          <w:szCs w:val="24"/>
          <w:lang w:eastAsia="en-GB"/>
          <w14:ligatures w14:val="none"/>
        </w:rPr>
        <w:t>a common understanding</w:t>
      </w:r>
      <w:proofErr w:type="gramEnd"/>
      <w:r w:rsidRPr="007F7328">
        <w:rPr>
          <w:rFonts w:eastAsia="Times New Roman" w:cstheme="minorHAnsi"/>
          <w:kern w:val="0"/>
          <w:sz w:val="24"/>
          <w:szCs w:val="24"/>
          <w:lang w:eastAsia="en-GB"/>
          <w14:ligatures w14:val="none"/>
        </w:rPr>
        <w:t xml:space="preserve"> of, and approach to, data protection principles among the </w:t>
      </w:r>
      <w:r w:rsidR="000F7B2A">
        <w:rPr>
          <w:rFonts w:eastAsia="Times New Roman" w:cstheme="minorHAnsi"/>
          <w:kern w:val="0"/>
          <w:sz w:val="24"/>
          <w:szCs w:val="24"/>
          <w:lang w:eastAsia="en-GB"/>
          <w14:ligatures w14:val="none"/>
        </w:rPr>
        <w:t xml:space="preserve">data protection and privacy authorities </w:t>
      </w:r>
      <w:r w:rsidRPr="007F7328">
        <w:rPr>
          <w:rFonts w:eastAsia="Times New Roman" w:cstheme="minorHAnsi"/>
          <w:kern w:val="0"/>
          <w:sz w:val="24"/>
          <w:szCs w:val="24"/>
          <w:lang w:eastAsia="en-GB"/>
          <w14:ligatures w14:val="none"/>
        </w:rPr>
        <w:t xml:space="preserve">of the world. This can encourage and support global cooperation on promoting the responsible use of data, </w:t>
      </w:r>
      <w:proofErr w:type="gramStart"/>
      <w:r w:rsidRPr="007F7328">
        <w:rPr>
          <w:rFonts w:eastAsia="Times New Roman" w:cstheme="minorHAnsi"/>
          <w:kern w:val="0"/>
          <w:sz w:val="24"/>
          <w:szCs w:val="24"/>
          <w:lang w:eastAsia="en-GB"/>
          <w14:ligatures w14:val="none"/>
        </w:rPr>
        <w:t>in light of</w:t>
      </w:r>
      <w:proofErr w:type="gramEnd"/>
      <w:r w:rsidRPr="007F7328">
        <w:rPr>
          <w:rFonts w:eastAsia="Times New Roman" w:cstheme="minorHAnsi"/>
          <w:kern w:val="0"/>
          <w:sz w:val="24"/>
          <w:szCs w:val="24"/>
          <w:lang w:eastAsia="en-GB"/>
          <w14:ligatures w14:val="none"/>
        </w:rPr>
        <w:t xml:space="preserve"> the similar challenges we all face, for example in relation to new technologies such as AI.</w:t>
      </w:r>
    </w:p>
    <w:p w14:paraId="74BA9E03" w14:textId="77777777" w:rsidR="007F7328" w:rsidRPr="007F7328" w:rsidRDefault="007F7328" w:rsidP="007F7328">
      <w:pPr>
        <w:spacing w:after="0" w:line="240" w:lineRule="auto"/>
        <w:ind w:left="720"/>
        <w:textAlignment w:val="center"/>
        <w:rPr>
          <w:rFonts w:eastAsia="Times New Roman" w:cstheme="minorHAnsi"/>
          <w:kern w:val="0"/>
          <w:sz w:val="24"/>
          <w:szCs w:val="24"/>
          <w:lang w:eastAsia="en-GB"/>
          <w14:ligatures w14:val="none"/>
        </w:rPr>
      </w:pPr>
    </w:p>
    <w:p w14:paraId="5D086F6A" w14:textId="79B94905" w:rsidR="00945839" w:rsidRDefault="007F7328" w:rsidP="00C66598">
      <w:pPr>
        <w:spacing w:after="0" w:line="240" w:lineRule="auto"/>
        <w:textAlignment w:val="center"/>
        <w:rPr>
          <w:rFonts w:eastAsia="Times New Roman" w:cstheme="minorHAnsi"/>
          <w:kern w:val="0"/>
          <w:sz w:val="24"/>
          <w:szCs w:val="24"/>
          <w:lang w:eastAsia="en-GB"/>
          <w14:ligatures w14:val="none"/>
        </w:rPr>
      </w:pPr>
      <w:r w:rsidRPr="007F7328">
        <w:rPr>
          <w:rFonts w:eastAsia="Times New Roman" w:cstheme="minorHAnsi"/>
          <w:kern w:val="0"/>
          <w:sz w:val="24"/>
          <w:szCs w:val="24"/>
          <w:lang w:eastAsia="en-GB"/>
          <w14:ligatures w14:val="none"/>
        </w:rPr>
        <w:t xml:space="preserve">Greater global coherence on underpinning </w:t>
      </w:r>
      <w:proofErr w:type="gramStart"/>
      <w:r w:rsidRPr="007F7328">
        <w:rPr>
          <w:rFonts w:eastAsia="Times New Roman" w:cstheme="minorHAnsi"/>
          <w:kern w:val="0"/>
          <w:sz w:val="24"/>
          <w:szCs w:val="24"/>
          <w:lang w:eastAsia="en-GB"/>
          <w14:ligatures w14:val="none"/>
        </w:rPr>
        <w:t>high standards</w:t>
      </w:r>
      <w:proofErr w:type="gramEnd"/>
      <w:r w:rsidRPr="007F7328">
        <w:rPr>
          <w:rFonts w:eastAsia="Times New Roman" w:cstheme="minorHAnsi"/>
          <w:kern w:val="0"/>
          <w:sz w:val="24"/>
          <w:szCs w:val="24"/>
          <w:lang w:eastAsia="en-GB"/>
          <w14:ligatures w14:val="none"/>
        </w:rPr>
        <w:t xml:space="preserve"> is </w:t>
      </w:r>
      <w:r w:rsidR="00F625FB">
        <w:rPr>
          <w:rFonts w:eastAsia="Times New Roman" w:cstheme="minorHAnsi"/>
          <w:kern w:val="0"/>
          <w:sz w:val="24"/>
          <w:szCs w:val="24"/>
          <w:lang w:eastAsia="en-GB"/>
          <w14:ligatures w14:val="none"/>
        </w:rPr>
        <w:t xml:space="preserve">also </w:t>
      </w:r>
      <w:r w:rsidRPr="007F7328">
        <w:rPr>
          <w:rFonts w:eastAsia="Times New Roman" w:cstheme="minorHAnsi"/>
          <w:kern w:val="0"/>
          <w:sz w:val="24"/>
          <w:szCs w:val="24"/>
          <w:lang w:eastAsia="en-GB"/>
          <w14:ligatures w14:val="none"/>
        </w:rPr>
        <w:t xml:space="preserve">a helpful pre-requisite for managing risks around global data transfers and to contribute </w:t>
      </w:r>
      <w:r w:rsidR="0012244F">
        <w:rPr>
          <w:rFonts w:eastAsia="Times New Roman" w:cstheme="minorHAnsi"/>
          <w:kern w:val="0"/>
          <w:sz w:val="24"/>
          <w:szCs w:val="24"/>
          <w:lang w:eastAsia="en-GB"/>
          <w14:ligatures w14:val="none"/>
        </w:rPr>
        <w:t xml:space="preserve">in the longer term </w:t>
      </w:r>
      <w:r w:rsidRPr="007F7328">
        <w:rPr>
          <w:rFonts w:eastAsia="Times New Roman" w:cstheme="minorHAnsi"/>
          <w:kern w:val="0"/>
          <w:sz w:val="24"/>
          <w:szCs w:val="24"/>
          <w:lang w:eastAsia="en-GB"/>
          <w14:ligatures w14:val="none"/>
        </w:rPr>
        <w:t xml:space="preserve">towards interoperability of global data flows. </w:t>
      </w:r>
    </w:p>
    <w:p w14:paraId="031BDAC2" w14:textId="77777777" w:rsidR="00D3491F" w:rsidRDefault="00D3491F" w:rsidP="00C66598">
      <w:pPr>
        <w:spacing w:after="0" w:line="240" w:lineRule="auto"/>
        <w:textAlignment w:val="center"/>
        <w:rPr>
          <w:rFonts w:eastAsia="Times New Roman" w:cstheme="minorHAnsi"/>
          <w:kern w:val="0"/>
          <w:sz w:val="24"/>
          <w:szCs w:val="24"/>
          <w:lang w:eastAsia="en-GB"/>
          <w14:ligatures w14:val="none"/>
        </w:rPr>
      </w:pPr>
    </w:p>
    <w:p w14:paraId="26DC9C4D" w14:textId="77777777" w:rsidR="00D3491F" w:rsidRPr="00C66598" w:rsidRDefault="00D3491F" w:rsidP="00C66598">
      <w:pPr>
        <w:spacing w:after="0" w:line="240" w:lineRule="auto"/>
        <w:textAlignment w:val="center"/>
        <w:rPr>
          <w:rFonts w:eastAsia="Times New Roman" w:cstheme="minorHAnsi"/>
          <w:kern w:val="0"/>
          <w:sz w:val="24"/>
          <w:szCs w:val="24"/>
          <w:lang w:eastAsia="en-GB"/>
          <w14:ligatures w14:val="none"/>
        </w:rPr>
      </w:pPr>
    </w:p>
    <w:p w14:paraId="7359CB06" w14:textId="535F7524" w:rsidR="00D05426" w:rsidRPr="00614E6B" w:rsidRDefault="00614E6B" w:rsidP="00614E6B">
      <w:pPr>
        <w:pStyle w:val="ListParagraph"/>
        <w:numPr>
          <w:ilvl w:val="0"/>
          <w:numId w:val="3"/>
        </w:numPr>
        <w:rPr>
          <w:rFonts w:eastAsia="Times New Roman" w:cstheme="minorHAnsi"/>
          <w:bCs/>
          <w:color w:val="060D59"/>
          <w:kern w:val="0"/>
          <w:sz w:val="28"/>
          <w:szCs w:val="28"/>
          <w14:ligatures w14:val="none"/>
        </w:rPr>
      </w:pPr>
      <w:r w:rsidRPr="00614E6B">
        <w:rPr>
          <w:rFonts w:eastAsia="Times New Roman" w:cstheme="minorHAnsi"/>
          <w:bCs/>
          <w:color w:val="060D59"/>
          <w:kern w:val="0"/>
          <w:sz w:val="28"/>
          <w:szCs w:val="28"/>
          <w14:ligatures w14:val="none"/>
        </w:rPr>
        <w:t xml:space="preserve">What does the </w:t>
      </w:r>
      <w:r w:rsidR="00E90C33">
        <w:rPr>
          <w:rFonts w:eastAsia="Times New Roman" w:cstheme="minorHAnsi"/>
          <w:bCs/>
          <w:color w:val="060D59"/>
          <w:kern w:val="0"/>
          <w:sz w:val="28"/>
          <w:szCs w:val="28"/>
          <w14:ligatures w14:val="none"/>
        </w:rPr>
        <w:t>R</w:t>
      </w:r>
      <w:r w:rsidRPr="00614E6B">
        <w:rPr>
          <w:rFonts w:eastAsia="Times New Roman" w:cstheme="minorHAnsi"/>
          <w:bCs/>
          <w:color w:val="060D59"/>
          <w:kern w:val="0"/>
          <w:sz w:val="28"/>
          <w:szCs w:val="28"/>
          <w14:ligatures w14:val="none"/>
        </w:rPr>
        <w:t>esolution say?</w:t>
      </w:r>
    </w:p>
    <w:p w14:paraId="1BA9B02B" w14:textId="5CCAA247" w:rsidR="00DD0DE5" w:rsidRDefault="00DD0DE5" w:rsidP="00DD0DE5">
      <w:pPr>
        <w:rPr>
          <w:sz w:val="24"/>
          <w:szCs w:val="24"/>
        </w:rPr>
      </w:pPr>
      <w:r w:rsidRPr="00B04C01">
        <w:rPr>
          <w:sz w:val="24"/>
          <w:szCs w:val="24"/>
        </w:rPr>
        <w:t xml:space="preserve">The </w:t>
      </w:r>
      <w:r w:rsidR="005B34E3">
        <w:rPr>
          <w:sz w:val="24"/>
          <w:szCs w:val="24"/>
        </w:rPr>
        <w:t>R</w:t>
      </w:r>
      <w:r w:rsidR="00177471">
        <w:rPr>
          <w:sz w:val="24"/>
          <w:szCs w:val="24"/>
        </w:rPr>
        <w:t>esolution</w:t>
      </w:r>
      <w:r w:rsidRPr="00B04C01">
        <w:rPr>
          <w:sz w:val="24"/>
          <w:szCs w:val="24"/>
        </w:rPr>
        <w:t xml:space="preserve"> </w:t>
      </w:r>
      <w:r w:rsidR="00D40C78">
        <w:rPr>
          <w:sz w:val="24"/>
          <w:szCs w:val="24"/>
        </w:rPr>
        <w:t xml:space="preserve">highlights </w:t>
      </w:r>
      <w:r w:rsidRPr="00B04C01">
        <w:rPr>
          <w:sz w:val="24"/>
          <w:szCs w:val="24"/>
        </w:rPr>
        <w:t>the value of global standards regarding data protection and privacy and promotes a</w:t>
      </w:r>
      <w:r>
        <w:rPr>
          <w:sz w:val="24"/>
          <w:szCs w:val="24"/>
        </w:rPr>
        <w:t xml:space="preserve"> number of updated</w:t>
      </w:r>
      <w:r w:rsidRPr="00B04C01">
        <w:rPr>
          <w:sz w:val="24"/>
          <w:szCs w:val="24"/>
        </w:rPr>
        <w:t xml:space="preserve"> high-level principles, </w:t>
      </w:r>
      <w:proofErr w:type="gramStart"/>
      <w:r w:rsidRPr="00B04C01">
        <w:rPr>
          <w:sz w:val="24"/>
          <w:szCs w:val="24"/>
        </w:rPr>
        <w:t>rights</w:t>
      </w:r>
      <w:proofErr w:type="gramEnd"/>
      <w:r w:rsidRPr="00B04C01">
        <w:rPr>
          <w:sz w:val="24"/>
          <w:szCs w:val="24"/>
        </w:rPr>
        <w:t xml:space="preserve"> and other elements important to achiev</w:t>
      </w:r>
      <w:r>
        <w:rPr>
          <w:sz w:val="24"/>
          <w:szCs w:val="24"/>
        </w:rPr>
        <w:t>ing</w:t>
      </w:r>
      <w:r w:rsidRPr="00B04C01">
        <w:rPr>
          <w:sz w:val="24"/>
          <w:szCs w:val="24"/>
        </w:rPr>
        <w:t xml:space="preserve"> high standards of personal data protection and privacy in the context of today’s global digital economy.  </w:t>
      </w:r>
    </w:p>
    <w:p w14:paraId="57D82C40" w14:textId="6D2E8482" w:rsidR="00DD0DE5" w:rsidRDefault="00DD0DE5" w:rsidP="00DD0DE5">
      <w:pPr>
        <w:rPr>
          <w:sz w:val="24"/>
          <w:szCs w:val="24"/>
        </w:rPr>
      </w:pPr>
      <w:r w:rsidRPr="00F51842">
        <w:rPr>
          <w:sz w:val="24"/>
          <w:szCs w:val="24"/>
        </w:rPr>
        <w:t xml:space="preserve">The </w:t>
      </w:r>
      <w:r w:rsidR="00E90C33">
        <w:rPr>
          <w:sz w:val="24"/>
          <w:szCs w:val="24"/>
        </w:rPr>
        <w:t>R</w:t>
      </w:r>
      <w:r w:rsidRPr="00F51842">
        <w:rPr>
          <w:sz w:val="24"/>
          <w:szCs w:val="24"/>
        </w:rPr>
        <w:t>esolution</w:t>
      </w:r>
      <w:r>
        <w:rPr>
          <w:sz w:val="24"/>
          <w:szCs w:val="24"/>
        </w:rPr>
        <w:t xml:space="preserve"> provides vital updates to</w:t>
      </w:r>
      <w:r w:rsidR="00D62DE5">
        <w:rPr>
          <w:sz w:val="24"/>
          <w:szCs w:val="24"/>
        </w:rPr>
        <w:t>, and builds on,</w:t>
      </w:r>
      <w:r w:rsidRPr="00F51842">
        <w:rPr>
          <w:sz w:val="24"/>
          <w:szCs w:val="24"/>
        </w:rPr>
        <w:t xml:space="preserve"> </w:t>
      </w:r>
      <w:r>
        <w:rPr>
          <w:sz w:val="24"/>
          <w:szCs w:val="24"/>
        </w:rPr>
        <w:t>the</w:t>
      </w:r>
      <w:r w:rsidR="00E04425">
        <w:rPr>
          <w:sz w:val="24"/>
          <w:szCs w:val="24"/>
        </w:rPr>
        <w:t xml:space="preserve"> 2009 </w:t>
      </w:r>
      <w:r w:rsidR="00E25174">
        <w:rPr>
          <w:sz w:val="24"/>
          <w:szCs w:val="24"/>
        </w:rPr>
        <w:t xml:space="preserve">GPA </w:t>
      </w:r>
      <w:r>
        <w:rPr>
          <w:sz w:val="24"/>
          <w:szCs w:val="24"/>
        </w:rPr>
        <w:t>Madrid Resolution’s</w:t>
      </w:r>
      <w:r w:rsidR="008E6A7A">
        <w:rPr>
          <w:rStyle w:val="FootnoteReference"/>
          <w:sz w:val="24"/>
          <w:szCs w:val="24"/>
        </w:rPr>
        <w:footnoteReference w:id="2"/>
      </w:r>
      <w:r>
        <w:rPr>
          <w:sz w:val="24"/>
          <w:szCs w:val="24"/>
        </w:rPr>
        <w:t xml:space="preserve"> </w:t>
      </w:r>
      <w:r w:rsidRPr="00F51842">
        <w:rPr>
          <w:sz w:val="24"/>
          <w:szCs w:val="24"/>
        </w:rPr>
        <w:t>propos</w:t>
      </w:r>
      <w:r>
        <w:rPr>
          <w:sz w:val="24"/>
          <w:szCs w:val="24"/>
        </w:rPr>
        <w:t>itions on</w:t>
      </w:r>
      <w:r w:rsidRPr="00F51842">
        <w:rPr>
          <w:sz w:val="24"/>
          <w:szCs w:val="24"/>
        </w:rPr>
        <w:t xml:space="preserve"> international standards on the protection of privacy </w:t>
      </w:r>
      <w:proofErr w:type="gramStart"/>
      <w:r w:rsidRPr="00F51842">
        <w:rPr>
          <w:sz w:val="24"/>
          <w:szCs w:val="24"/>
        </w:rPr>
        <w:t>with regard to</w:t>
      </w:r>
      <w:proofErr w:type="gramEnd"/>
      <w:r w:rsidRPr="00F51842">
        <w:rPr>
          <w:sz w:val="24"/>
          <w:szCs w:val="24"/>
        </w:rPr>
        <w:t xml:space="preserve"> the processing of personal data, </w:t>
      </w:r>
      <w:r>
        <w:rPr>
          <w:sz w:val="24"/>
          <w:szCs w:val="24"/>
        </w:rPr>
        <w:t>including but not limited to:</w:t>
      </w:r>
    </w:p>
    <w:p w14:paraId="1B2669CB" w14:textId="77777777" w:rsidR="00DD0DE5" w:rsidRPr="00F51842" w:rsidRDefault="00DD0DE5" w:rsidP="00DD0DE5">
      <w:pPr>
        <w:pStyle w:val="ListParagraph"/>
        <w:numPr>
          <w:ilvl w:val="0"/>
          <w:numId w:val="4"/>
        </w:numPr>
        <w:rPr>
          <w:sz w:val="24"/>
          <w:szCs w:val="24"/>
        </w:rPr>
      </w:pPr>
      <w:r w:rsidRPr="00F51842">
        <w:rPr>
          <w:sz w:val="24"/>
          <w:szCs w:val="24"/>
        </w:rPr>
        <w:t xml:space="preserve">lawfulness and fairness; </w:t>
      </w:r>
    </w:p>
    <w:p w14:paraId="2BB562B8" w14:textId="77777777" w:rsidR="00DD0DE5" w:rsidRPr="00F51842" w:rsidRDefault="00DD0DE5" w:rsidP="00DD0DE5">
      <w:pPr>
        <w:pStyle w:val="ListParagraph"/>
        <w:numPr>
          <w:ilvl w:val="0"/>
          <w:numId w:val="4"/>
        </w:numPr>
        <w:rPr>
          <w:sz w:val="24"/>
          <w:szCs w:val="24"/>
        </w:rPr>
      </w:pPr>
      <w:r w:rsidRPr="00F51842">
        <w:rPr>
          <w:sz w:val="24"/>
          <w:szCs w:val="24"/>
        </w:rPr>
        <w:t xml:space="preserve">purpose specification; </w:t>
      </w:r>
    </w:p>
    <w:p w14:paraId="6898FBBE" w14:textId="77777777" w:rsidR="00DD0DE5" w:rsidRPr="00F51842" w:rsidRDefault="00DD0DE5" w:rsidP="00DD0DE5">
      <w:pPr>
        <w:pStyle w:val="ListParagraph"/>
        <w:numPr>
          <w:ilvl w:val="0"/>
          <w:numId w:val="4"/>
        </w:numPr>
        <w:rPr>
          <w:sz w:val="24"/>
          <w:szCs w:val="24"/>
        </w:rPr>
      </w:pPr>
      <w:r w:rsidRPr="00F51842">
        <w:rPr>
          <w:sz w:val="24"/>
          <w:szCs w:val="24"/>
        </w:rPr>
        <w:t xml:space="preserve">proportionality; </w:t>
      </w:r>
    </w:p>
    <w:p w14:paraId="4FFE8C21" w14:textId="77777777" w:rsidR="00DD0DE5" w:rsidRPr="00F51842" w:rsidRDefault="00DD0DE5" w:rsidP="00DD0DE5">
      <w:pPr>
        <w:pStyle w:val="ListParagraph"/>
        <w:numPr>
          <w:ilvl w:val="0"/>
          <w:numId w:val="4"/>
        </w:numPr>
        <w:rPr>
          <w:sz w:val="24"/>
          <w:szCs w:val="24"/>
        </w:rPr>
      </w:pPr>
      <w:r w:rsidRPr="00F51842">
        <w:rPr>
          <w:sz w:val="24"/>
          <w:szCs w:val="24"/>
        </w:rPr>
        <w:t xml:space="preserve">data quality; </w:t>
      </w:r>
    </w:p>
    <w:p w14:paraId="73529B3D" w14:textId="77777777" w:rsidR="00DD0DE5" w:rsidRDefault="00DD0DE5" w:rsidP="00DD0DE5">
      <w:pPr>
        <w:pStyle w:val="ListParagraph"/>
        <w:numPr>
          <w:ilvl w:val="0"/>
          <w:numId w:val="4"/>
        </w:numPr>
        <w:rPr>
          <w:sz w:val="24"/>
          <w:szCs w:val="24"/>
        </w:rPr>
      </w:pPr>
      <w:r w:rsidRPr="00F51842">
        <w:rPr>
          <w:sz w:val="24"/>
          <w:szCs w:val="24"/>
        </w:rPr>
        <w:t xml:space="preserve">openness; </w:t>
      </w:r>
    </w:p>
    <w:p w14:paraId="431A576A" w14:textId="77777777" w:rsidR="00DD0DE5" w:rsidRPr="00F51842" w:rsidRDefault="00DD0DE5" w:rsidP="00DD0DE5">
      <w:pPr>
        <w:pStyle w:val="ListParagraph"/>
        <w:numPr>
          <w:ilvl w:val="0"/>
          <w:numId w:val="4"/>
        </w:numPr>
        <w:rPr>
          <w:sz w:val="24"/>
          <w:szCs w:val="24"/>
        </w:rPr>
      </w:pPr>
      <w:r>
        <w:rPr>
          <w:sz w:val="24"/>
          <w:szCs w:val="24"/>
        </w:rPr>
        <w:lastRenderedPageBreak/>
        <w:t xml:space="preserve">privacy by design and default; </w:t>
      </w:r>
      <w:r w:rsidRPr="00F51842">
        <w:rPr>
          <w:sz w:val="24"/>
          <w:szCs w:val="24"/>
        </w:rPr>
        <w:t xml:space="preserve">and </w:t>
      </w:r>
      <w:r>
        <w:rPr>
          <w:sz w:val="24"/>
          <w:szCs w:val="24"/>
        </w:rPr>
        <w:t xml:space="preserve"> </w:t>
      </w:r>
    </w:p>
    <w:p w14:paraId="649858D8" w14:textId="77777777" w:rsidR="00DD0DE5" w:rsidRDefault="00DD0DE5" w:rsidP="00DD0DE5">
      <w:pPr>
        <w:pStyle w:val="ListParagraph"/>
        <w:numPr>
          <w:ilvl w:val="0"/>
          <w:numId w:val="4"/>
        </w:numPr>
        <w:rPr>
          <w:sz w:val="24"/>
          <w:szCs w:val="24"/>
        </w:rPr>
      </w:pPr>
      <w:r w:rsidRPr="00F51842">
        <w:rPr>
          <w:sz w:val="24"/>
          <w:szCs w:val="24"/>
        </w:rPr>
        <w:t>accountability.</w:t>
      </w:r>
    </w:p>
    <w:p w14:paraId="642A48A7" w14:textId="77777777" w:rsidR="00AD4039" w:rsidRDefault="00AD4039" w:rsidP="00AD4039">
      <w:pPr>
        <w:pStyle w:val="ListParagraph"/>
        <w:rPr>
          <w:sz w:val="24"/>
          <w:szCs w:val="24"/>
        </w:rPr>
      </w:pPr>
    </w:p>
    <w:p w14:paraId="50FA24B0" w14:textId="77777777" w:rsidR="00AD4039" w:rsidRPr="00F51842" w:rsidRDefault="00AD4039" w:rsidP="00AD4039">
      <w:pPr>
        <w:pStyle w:val="ListParagraph"/>
        <w:rPr>
          <w:sz w:val="24"/>
          <w:szCs w:val="24"/>
        </w:rPr>
      </w:pPr>
    </w:p>
    <w:p w14:paraId="01853829" w14:textId="77777777" w:rsidR="0051659E" w:rsidRPr="00AD4039" w:rsidRDefault="0051659E" w:rsidP="00AD4039">
      <w:pPr>
        <w:pStyle w:val="ListParagraph"/>
        <w:numPr>
          <w:ilvl w:val="0"/>
          <w:numId w:val="3"/>
        </w:numPr>
        <w:rPr>
          <w:rFonts w:eastAsia="Times New Roman" w:cstheme="minorHAnsi"/>
          <w:bCs/>
          <w:color w:val="060D59"/>
          <w:kern w:val="0"/>
          <w:sz w:val="28"/>
          <w:szCs w:val="28"/>
          <w14:ligatures w14:val="none"/>
        </w:rPr>
      </w:pPr>
      <w:r w:rsidRPr="00AD4039">
        <w:rPr>
          <w:rFonts w:eastAsia="Times New Roman" w:cstheme="minorHAnsi"/>
          <w:bCs/>
          <w:color w:val="060D59"/>
          <w:kern w:val="0"/>
          <w:sz w:val="28"/>
          <w:szCs w:val="28"/>
          <w14:ligatures w14:val="none"/>
        </w:rPr>
        <w:t xml:space="preserve">What are </w:t>
      </w:r>
      <w:proofErr w:type="gramStart"/>
      <w:r w:rsidRPr="00AD4039">
        <w:rPr>
          <w:rFonts w:eastAsia="Times New Roman" w:cstheme="minorHAnsi"/>
          <w:bCs/>
          <w:color w:val="060D59"/>
          <w:kern w:val="0"/>
          <w:sz w:val="28"/>
          <w:szCs w:val="28"/>
          <w14:ligatures w14:val="none"/>
        </w:rPr>
        <w:t>some of</w:t>
      </w:r>
      <w:proofErr w:type="gramEnd"/>
      <w:r w:rsidRPr="00AD4039">
        <w:rPr>
          <w:rFonts w:eastAsia="Times New Roman" w:cstheme="minorHAnsi"/>
          <w:bCs/>
          <w:color w:val="060D59"/>
          <w:kern w:val="0"/>
          <w:sz w:val="28"/>
          <w:szCs w:val="28"/>
          <w14:ligatures w14:val="none"/>
        </w:rPr>
        <w:t xml:space="preserve"> the key updates and inclusions? </w:t>
      </w:r>
    </w:p>
    <w:p w14:paraId="6EC824E7" w14:textId="4C8A2D64" w:rsidR="0051659E" w:rsidRPr="00E81B96" w:rsidRDefault="0051659E" w:rsidP="0051659E">
      <w:pPr>
        <w:rPr>
          <w:sz w:val="24"/>
          <w:szCs w:val="24"/>
        </w:rPr>
      </w:pPr>
      <w:r w:rsidRPr="00DA3F36">
        <w:rPr>
          <w:sz w:val="24"/>
          <w:szCs w:val="24"/>
        </w:rPr>
        <w:t>In addition to updating the general privacy princip</w:t>
      </w:r>
      <w:r w:rsidR="009D36B4">
        <w:rPr>
          <w:sz w:val="24"/>
          <w:szCs w:val="24"/>
        </w:rPr>
        <w:t>l</w:t>
      </w:r>
      <w:r w:rsidRPr="00DA3F36">
        <w:rPr>
          <w:sz w:val="24"/>
          <w:szCs w:val="24"/>
        </w:rPr>
        <w:t xml:space="preserve">es adopted in the original Madrid Resolution, the </w:t>
      </w:r>
      <w:r w:rsidRPr="00E81B96">
        <w:rPr>
          <w:sz w:val="24"/>
          <w:szCs w:val="24"/>
        </w:rPr>
        <w:t xml:space="preserve">Resolution refers to several declarations and position papers that provide insights into current </w:t>
      </w:r>
      <w:r w:rsidR="005D1E14">
        <w:rPr>
          <w:sz w:val="24"/>
          <w:szCs w:val="24"/>
        </w:rPr>
        <w:t xml:space="preserve">approaches to </w:t>
      </w:r>
      <w:r w:rsidRPr="00E81B96">
        <w:rPr>
          <w:sz w:val="24"/>
          <w:szCs w:val="24"/>
        </w:rPr>
        <w:t xml:space="preserve">data protection law, </w:t>
      </w:r>
      <w:proofErr w:type="gramStart"/>
      <w:r w:rsidRPr="00E81B96">
        <w:rPr>
          <w:sz w:val="24"/>
          <w:szCs w:val="24"/>
        </w:rPr>
        <w:t>regulation</w:t>
      </w:r>
      <w:proofErr w:type="gramEnd"/>
      <w:r w:rsidRPr="00E81B96">
        <w:rPr>
          <w:sz w:val="24"/>
          <w:szCs w:val="24"/>
        </w:rPr>
        <w:t xml:space="preserve"> and best practices</w:t>
      </w:r>
      <w:r w:rsidR="006E02D6">
        <w:rPr>
          <w:sz w:val="24"/>
          <w:szCs w:val="24"/>
        </w:rPr>
        <w:t>, and support high standards</w:t>
      </w:r>
      <w:r w:rsidR="00AA38D5">
        <w:rPr>
          <w:sz w:val="24"/>
          <w:szCs w:val="24"/>
        </w:rPr>
        <w:t xml:space="preserve"> globally</w:t>
      </w:r>
      <w:r w:rsidRPr="00E81B96">
        <w:rPr>
          <w:sz w:val="24"/>
          <w:szCs w:val="24"/>
        </w:rPr>
        <w:t xml:space="preserve">. These include: </w:t>
      </w:r>
    </w:p>
    <w:p w14:paraId="0F3CB1FA" w14:textId="4448B967" w:rsidR="0051659E" w:rsidRPr="00E81B96" w:rsidRDefault="00C351F8" w:rsidP="0051659E">
      <w:pPr>
        <w:pStyle w:val="ListParagraph"/>
        <w:numPr>
          <w:ilvl w:val="0"/>
          <w:numId w:val="6"/>
        </w:numPr>
        <w:rPr>
          <w:sz w:val="24"/>
          <w:szCs w:val="24"/>
        </w:rPr>
      </w:pPr>
      <w:hyperlink r:id="rId12" w:history="1">
        <w:r w:rsidR="0051659E" w:rsidRPr="00E81B96">
          <w:rPr>
            <w:rStyle w:val="Hyperlink"/>
            <w:sz w:val="24"/>
            <w:szCs w:val="24"/>
          </w:rPr>
          <w:t xml:space="preserve">GPA Resolution on Government Access to Data, </w:t>
        </w:r>
        <w:proofErr w:type="gramStart"/>
        <w:r w:rsidR="0051659E" w:rsidRPr="00E81B96">
          <w:rPr>
            <w:rStyle w:val="Hyperlink"/>
            <w:sz w:val="24"/>
            <w:szCs w:val="24"/>
          </w:rPr>
          <w:t>Privacy</w:t>
        </w:r>
        <w:proofErr w:type="gramEnd"/>
        <w:r w:rsidR="0051659E" w:rsidRPr="00E81B96">
          <w:rPr>
            <w:rStyle w:val="Hyperlink"/>
            <w:sz w:val="24"/>
            <w:szCs w:val="24"/>
          </w:rPr>
          <w:t xml:space="preserve"> and the Rule of Law: Principles for Governmental Access to Personal Data held by the Private Sector for National Security and Public Safety Purposes</w:t>
        </w:r>
      </w:hyperlink>
      <w:r w:rsidR="009D3931">
        <w:rPr>
          <w:rStyle w:val="Hyperlink"/>
          <w:sz w:val="24"/>
          <w:szCs w:val="24"/>
        </w:rPr>
        <w:t>;</w:t>
      </w:r>
      <w:r w:rsidR="0051659E" w:rsidRPr="00E81B96">
        <w:rPr>
          <w:sz w:val="24"/>
          <w:szCs w:val="24"/>
        </w:rPr>
        <w:t xml:space="preserve"> </w:t>
      </w:r>
    </w:p>
    <w:p w14:paraId="26846CCF" w14:textId="77777777" w:rsidR="0051659E" w:rsidRPr="00E81B96" w:rsidRDefault="0051659E" w:rsidP="0051659E">
      <w:pPr>
        <w:pStyle w:val="ListParagraph"/>
        <w:rPr>
          <w:sz w:val="24"/>
          <w:szCs w:val="24"/>
        </w:rPr>
      </w:pPr>
    </w:p>
    <w:p w14:paraId="414F0263" w14:textId="34FD71AC" w:rsidR="0051659E" w:rsidRPr="00E81B96" w:rsidRDefault="00C351F8" w:rsidP="0051659E">
      <w:pPr>
        <w:pStyle w:val="ListParagraph"/>
        <w:numPr>
          <w:ilvl w:val="0"/>
          <w:numId w:val="6"/>
        </w:numPr>
        <w:rPr>
          <w:sz w:val="24"/>
          <w:szCs w:val="24"/>
        </w:rPr>
      </w:pPr>
      <w:hyperlink r:id="rId13" w:history="1">
        <w:r w:rsidR="0051659E" w:rsidRPr="00E81B96">
          <w:rPr>
            <w:rStyle w:val="Hyperlink"/>
            <w:sz w:val="24"/>
            <w:szCs w:val="24"/>
          </w:rPr>
          <w:t>Organisation for Economic Cooperation and Development (OECD) Declaration on Government Access to Personal Data Held by Private Sector Entities</w:t>
        </w:r>
        <w:r w:rsidR="009D3931">
          <w:rPr>
            <w:rStyle w:val="Hyperlink"/>
            <w:sz w:val="24"/>
            <w:szCs w:val="24"/>
          </w:rPr>
          <w:t>;</w:t>
        </w:r>
        <w:r w:rsidR="0051659E" w:rsidRPr="00E81B96">
          <w:rPr>
            <w:rStyle w:val="Hyperlink"/>
            <w:sz w:val="24"/>
            <w:szCs w:val="24"/>
          </w:rPr>
          <w:t xml:space="preserve"> </w:t>
        </w:r>
      </w:hyperlink>
    </w:p>
    <w:p w14:paraId="0F1B6ADB" w14:textId="77777777" w:rsidR="0051659E" w:rsidRPr="00E81B96" w:rsidRDefault="0051659E" w:rsidP="0051659E">
      <w:pPr>
        <w:pStyle w:val="ListParagraph"/>
        <w:rPr>
          <w:sz w:val="24"/>
          <w:szCs w:val="24"/>
        </w:rPr>
      </w:pPr>
    </w:p>
    <w:p w14:paraId="29DF13B3" w14:textId="12C8D1B8" w:rsidR="0051659E" w:rsidRPr="00E81B96" w:rsidRDefault="0051659E" w:rsidP="0051659E">
      <w:pPr>
        <w:pStyle w:val="ListParagraph"/>
        <w:numPr>
          <w:ilvl w:val="0"/>
          <w:numId w:val="6"/>
        </w:numPr>
        <w:rPr>
          <w:sz w:val="24"/>
          <w:szCs w:val="24"/>
        </w:rPr>
      </w:pPr>
      <w:r w:rsidRPr="00E81B96">
        <w:rPr>
          <w:sz w:val="24"/>
          <w:szCs w:val="24"/>
        </w:rPr>
        <w:t>Existing and development of new international transfer safeguards and regimes, including those that promote multilateral cooperation and interoperability</w:t>
      </w:r>
      <w:r w:rsidR="009D3931">
        <w:rPr>
          <w:sz w:val="24"/>
          <w:szCs w:val="24"/>
        </w:rPr>
        <w:t>; and</w:t>
      </w:r>
    </w:p>
    <w:p w14:paraId="6E038015" w14:textId="77777777" w:rsidR="0051659E" w:rsidRPr="00E81B96" w:rsidRDefault="0051659E" w:rsidP="0051659E">
      <w:pPr>
        <w:pStyle w:val="ListParagraph"/>
        <w:rPr>
          <w:sz w:val="24"/>
          <w:szCs w:val="24"/>
        </w:rPr>
      </w:pPr>
    </w:p>
    <w:p w14:paraId="17559F77" w14:textId="71BA3EA2" w:rsidR="0051659E" w:rsidRPr="00E81B96" w:rsidRDefault="0051659E" w:rsidP="0051659E">
      <w:pPr>
        <w:pStyle w:val="ListParagraph"/>
        <w:numPr>
          <w:ilvl w:val="0"/>
          <w:numId w:val="6"/>
        </w:numPr>
        <w:rPr>
          <w:sz w:val="24"/>
          <w:szCs w:val="24"/>
        </w:rPr>
      </w:pPr>
      <w:r w:rsidRPr="00E81B96">
        <w:rPr>
          <w:sz w:val="24"/>
          <w:szCs w:val="24"/>
        </w:rPr>
        <w:t xml:space="preserve">Updated conventions and guidelines from the United Nations, the Council of </w:t>
      </w:r>
      <w:proofErr w:type="gramStart"/>
      <w:r w:rsidRPr="00E81B96">
        <w:rPr>
          <w:sz w:val="24"/>
          <w:szCs w:val="24"/>
        </w:rPr>
        <w:t>Europe</w:t>
      </w:r>
      <w:proofErr w:type="gramEnd"/>
      <w:r w:rsidRPr="00E81B96">
        <w:rPr>
          <w:sz w:val="24"/>
          <w:szCs w:val="24"/>
        </w:rPr>
        <w:t xml:space="preserve"> and other non-governmental organizations</w:t>
      </w:r>
      <w:r w:rsidR="00E8661F">
        <w:rPr>
          <w:sz w:val="24"/>
          <w:szCs w:val="24"/>
        </w:rPr>
        <w:t>.</w:t>
      </w:r>
    </w:p>
    <w:p w14:paraId="4AD35931" w14:textId="77777777" w:rsidR="0051659E" w:rsidRPr="00E81B96" w:rsidRDefault="0051659E" w:rsidP="0051659E">
      <w:pPr>
        <w:rPr>
          <w:sz w:val="24"/>
          <w:szCs w:val="24"/>
        </w:rPr>
      </w:pPr>
    </w:p>
    <w:p w14:paraId="232D134F" w14:textId="3002794B" w:rsidR="0051659E" w:rsidRPr="001E7A33" w:rsidRDefault="0051659E" w:rsidP="001E7A33">
      <w:pPr>
        <w:pStyle w:val="ListParagraph"/>
        <w:numPr>
          <w:ilvl w:val="0"/>
          <w:numId w:val="3"/>
        </w:numPr>
        <w:rPr>
          <w:rFonts w:eastAsia="Times New Roman" w:cstheme="minorHAnsi"/>
          <w:bCs/>
          <w:color w:val="060D59"/>
          <w:kern w:val="0"/>
          <w:sz w:val="28"/>
          <w:szCs w:val="28"/>
          <w14:ligatures w14:val="none"/>
        </w:rPr>
      </w:pPr>
      <w:r w:rsidRPr="001E7A33">
        <w:rPr>
          <w:rFonts w:eastAsia="Times New Roman" w:cstheme="minorHAnsi"/>
          <w:bCs/>
          <w:color w:val="060D59"/>
          <w:kern w:val="0"/>
          <w:sz w:val="28"/>
          <w:szCs w:val="28"/>
          <w14:ligatures w14:val="none"/>
        </w:rPr>
        <w:t xml:space="preserve">Do the principles set out in the Resolution provide anything that </w:t>
      </w:r>
      <w:proofErr w:type="gramStart"/>
      <w:r w:rsidRPr="001E7A33">
        <w:rPr>
          <w:rFonts w:eastAsia="Times New Roman" w:cstheme="minorHAnsi"/>
          <w:bCs/>
          <w:color w:val="060D59"/>
          <w:kern w:val="0"/>
          <w:sz w:val="28"/>
          <w:szCs w:val="28"/>
          <w14:ligatures w14:val="none"/>
        </w:rPr>
        <w:t>isn’t</w:t>
      </w:r>
      <w:proofErr w:type="gramEnd"/>
      <w:r w:rsidRPr="001E7A33">
        <w:rPr>
          <w:rFonts w:eastAsia="Times New Roman" w:cstheme="minorHAnsi"/>
          <w:bCs/>
          <w:color w:val="060D59"/>
          <w:kern w:val="0"/>
          <w:sz w:val="28"/>
          <w:szCs w:val="28"/>
          <w14:ligatures w14:val="none"/>
        </w:rPr>
        <w:t xml:space="preserve"> already set out in </w:t>
      </w:r>
      <w:r w:rsidR="001E7A33">
        <w:rPr>
          <w:rFonts w:eastAsia="Times New Roman" w:cstheme="minorHAnsi"/>
          <w:bCs/>
          <w:color w:val="060D59"/>
          <w:kern w:val="0"/>
          <w:sz w:val="28"/>
          <w:szCs w:val="28"/>
          <w14:ligatures w14:val="none"/>
        </w:rPr>
        <w:t>data protection l</w:t>
      </w:r>
      <w:r w:rsidRPr="001E7A33">
        <w:rPr>
          <w:rFonts w:eastAsia="Times New Roman" w:cstheme="minorHAnsi"/>
          <w:bCs/>
          <w:color w:val="060D59"/>
          <w:kern w:val="0"/>
          <w:sz w:val="28"/>
          <w:szCs w:val="28"/>
          <w14:ligatures w14:val="none"/>
        </w:rPr>
        <w:t xml:space="preserve">aws? </w:t>
      </w:r>
    </w:p>
    <w:p w14:paraId="134A82A3" w14:textId="53817FCD" w:rsidR="0051659E" w:rsidRDefault="0051659E" w:rsidP="0051659E">
      <w:pPr>
        <w:rPr>
          <w:sz w:val="24"/>
          <w:szCs w:val="24"/>
        </w:rPr>
      </w:pPr>
      <w:r>
        <w:rPr>
          <w:sz w:val="24"/>
          <w:szCs w:val="24"/>
        </w:rPr>
        <w:t xml:space="preserve">The </w:t>
      </w:r>
      <w:r w:rsidR="00E76C13">
        <w:rPr>
          <w:sz w:val="24"/>
          <w:szCs w:val="24"/>
        </w:rPr>
        <w:t>princip</w:t>
      </w:r>
      <w:r w:rsidR="00213E69">
        <w:rPr>
          <w:sz w:val="24"/>
          <w:szCs w:val="24"/>
        </w:rPr>
        <w:t>l</w:t>
      </w:r>
      <w:r w:rsidR="00E76C13">
        <w:rPr>
          <w:sz w:val="24"/>
          <w:szCs w:val="24"/>
        </w:rPr>
        <w:t>es in the Resolution are mostly familiar</w:t>
      </w:r>
      <w:r w:rsidR="00D93322">
        <w:rPr>
          <w:sz w:val="24"/>
          <w:szCs w:val="24"/>
        </w:rPr>
        <w:t xml:space="preserve">, though they </w:t>
      </w:r>
      <w:proofErr w:type="gramStart"/>
      <w:r w:rsidR="00D93322">
        <w:rPr>
          <w:sz w:val="24"/>
          <w:szCs w:val="24"/>
        </w:rPr>
        <w:t>don’t</w:t>
      </w:r>
      <w:proofErr w:type="gramEnd"/>
      <w:r w:rsidR="00D93322">
        <w:rPr>
          <w:sz w:val="24"/>
          <w:szCs w:val="24"/>
        </w:rPr>
        <w:t xml:space="preserve"> all exist in all data protection laws</w:t>
      </w:r>
      <w:r w:rsidR="00E76C13">
        <w:rPr>
          <w:sz w:val="24"/>
          <w:szCs w:val="24"/>
        </w:rPr>
        <w:t>.</w:t>
      </w:r>
      <w:r>
        <w:rPr>
          <w:sz w:val="24"/>
          <w:szCs w:val="24"/>
        </w:rPr>
        <w:t xml:space="preserve">  </w:t>
      </w:r>
      <w:r w:rsidR="00264DCF">
        <w:rPr>
          <w:sz w:val="24"/>
          <w:szCs w:val="24"/>
        </w:rPr>
        <w:t>The Resolution also inc</w:t>
      </w:r>
      <w:r w:rsidR="00AA41AE">
        <w:rPr>
          <w:sz w:val="24"/>
          <w:szCs w:val="24"/>
        </w:rPr>
        <w:t>l</w:t>
      </w:r>
      <w:r w:rsidR="00264DCF">
        <w:rPr>
          <w:sz w:val="24"/>
          <w:szCs w:val="24"/>
        </w:rPr>
        <w:t>udes i</w:t>
      </w:r>
      <w:r>
        <w:rPr>
          <w:sz w:val="24"/>
          <w:szCs w:val="24"/>
        </w:rPr>
        <w:t>mportant updates that reflect both regulatory and legislative developments as well as the application of case law and best practices, for example:</w:t>
      </w:r>
    </w:p>
    <w:p w14:paraId="2C825EE3" w14:textId="56D5CCC3" w:rsidR="0051659E" w:rsidRDefault="0051659E" w:rsidP="0051659E">
      <w:pPr>
        <w:pStyle w:val="ListParagraph"/>
        <w:numPr>
          <w:ilvl w:val="0"/>
          <w:numId w:val="7"/>
        </w:numPr>
        <w:rPr>
          <w:sz w:val="24"/>
          <w:szCs w:val="24"/>
        </w:rPr>
      </w:pPr>
      <w:r w:rsidRPr="004C07C1">
        <w:rPr>
          <w:sz w:val="24"/>
          <w:szCs w:val="24"/>
        </w:rPr>
        <w:t>the ability of data subjects to exercise their rights and freedoms anywhere in the world and to have redress mechanisms available to do so effectively</w:t>
      </w:r>
      <w:r w:rsidR="00127222">
        <w:rPr>
          <w:sz w:val="24"/>
          <w:szCs w:val="24"/>
        </w:rPr>
        <w:t>;</w:t>
      </w:r>
    </w:p>
    <w:p w14:paraId="207F02BC" w14:textId="77777777" w:rsidR="0051659E" w:rsidRPr="004C07C1" w:rsidRDefault="0051659E" w:rsidP="0051659E">
      <w:pPr>
        <w:pStyle w:val="ListParagraph"/>
        <w:rPr>
          <w:sz w:val="24"/>
          <w:szCs w:val="24"/>
        </w:rPr>
      </w:pPr>
    </w:p>
    <w:p w14:paraId="439898B9" w14:textId="1DED4069" w:rsidR="0051659E" w:rsidRDefault="0051659E" w:rsidP="0051659E">
      <w:pPr>
        <w:pStyle w:val="ListParagraph"/>
        <w:numPr>
          <w:ilvl w:val="0"/>
          <w:numId w:val="7"/>
        </w:numPr>
        <w:rPr>
          <w:sz w:val="24"/>
          <w:szCs w:val="24"/>
        </w:rPr>
      </w:pPr>
      <w:r w:rsidRPr="004C07C1">
        <w:rPr>
          <w:sz w:val="24"/>
          <w:szCs w:val="24"/>
        </w:rPr>
        <w:t>development of the concept of effective and independent supervisory authorities</w:t>
      </w:r>
      <w:r>
        <w:rPr>
          <w:sz w:val="24"/>
          <w:szCs w:val="24"/>
        </w:rPr>
        <w:t xml:space="preserve"> for not only monitoring but also outreach and training</w:t>
      </w:r>
      <w:r w:rsidR="00127222">
        <w:rPr>
          <w:sz w:val="24"/>
          <w:szCs w:val="24"/>
        </w:rPr>
        <w:t>; and</w:t>
      </w:r>
    </w:p>
    <w:p w14:paraId="5027D469" w14:textId="77777777" w:rsidR="0051659E" w:rsidRDefault="0051659E" w:rsidP="0051659E">
      <w:pPr>
        <w:pStyle w:val="ListParagraph"/>
        <w:rPr>
          <w:sz w:val="24"/>
          <w:szCs w:val="24"/>
        </w:rPr>
      </w:pPr>
    </w:p>
    <w:p w14:paraId="230CACDE" w14:textId="5C522802" w:rsidR="0051659E" w:rsidRPr="004C07C1" w:rsidRDefault="004163C5" w:rsidP="0051659E">
      <w:pPr>
        <w:pStyle w:val="ListParagraph"/>
        <w:numPr>
          <w:ilvl w:val="0"/>
          <w:numId w:val="7"/>
        </w:numPr>
        <w:rPr>
          <w:sz w:val="24"/>
          <w:szCs w:val="24"/>
        </w:rPr>
      </w:pPr>
      <w:r>
        <w:rPr>
          <w:sz w:val="24"/>
          <w:szCs w:val="24"/>
        </w:rPr>
        <w:t xml:space="preserve">the </w:t>
      </w:r>
      <w:r w:rsidR="00127222">
        <w:rPr>
          <w:sz w:val="24"/>
          <w:szCs w:val="24"/>
        </w:rPr>
        <w:t xml:space="preserve">application of the principles to </w:t>
      </w:r>
      <w:r w:rsidR="0051659E">
        <w:rPr>
          <w:sz w:val="24"/>
          <w:szCs w:val="24"/>
        </w:rPr>
        <w:t>advanced technology, cybersecurity risks and the digital economy</w:t>
      </w:r>
      <w:r w:rsidR="00127222">
        <w:rPr>
          <w:sz w:val="24"/>
          <w:szCs w:val="24"/>
        </w:rPr>
        <w:t>.</w:t>
      </w:r>
    </w:p>
    <w:p w14:paraId="04BCBC2F" w14:textId="77777777" w:rsidR="0051659E" w:rsidRDefault="0051659E" w:rsidP="0051659E">
      <w:pPr>
        <w:pStyle w:val="ListParagraph"/>
        <w:rPr>
          <w:sz w:val="24"/>
          <w:szCs w:val="24"/>
        </w:rPr>
      </w:pPr>
    </w:p>
    <w:p w14:paraId="2439611D" w14:textId="77777777" w:rsidR="00A71315" w:rsidRPr="00E11718" w:rsidRDefault="00A71315" w:rsidP="0051659E">
      <w:pPr>
        <w:pStyle w:val="ListParagraph"/>
        <w:rPr>
          <w:sz w:val="24"/>
          <w:szCs w:val="24"/>
        </w:rPr>
      </w:pPr>
    </w:p>
    <w:p w14:paraId="578C109E" w14:textId="47CCE30A" w:rsidR="0051659E" w:rsidRPr="00C34F54" w:rsidRDefault="0051659E" w:rsidP="00C34F54">
      <w:pPr>
        <w:pStyle w:val="ListParagraph"/>
        <w:numPr>
          <w:ilvl w:val="0"/>
          <w:numId w:val="3"/>
        </w:numPr>
        <w:rPr>
          <w:rFonts w:eastAsia="Times New Roman" w:cstheme="minorHAnsi"/>
          <w:bCs/>
          <w:color w:val="060D59"/>
          <w:kern w:val="0"/>
          <w:sz w:val="28"/>
          <w:szCs w:val="28"/>
          <w14:ligatures w14:val="none"/>
        </w:rPr>
      </w:pPr>
      <w:r w:rsidRPr="00C34F54">
        <w:rPr>
          <w:rFonts w:eastAsia="Times New Roman" w:cstheme="minorHAnsi"/>
          <w:bCs/>
          <w:color w:val="060D59"/>
          <w:kern w:val="0"/>
          <w:sz w:val="28"/>
          <w:szCs w:val="28"/>
          <w14:ligatures w14:val="none"/>
        </w:rPr>
        <w:t xml:space="preserve">How </w:t>
      </w:r>
      <w:r w:rsidR="00213E69">
        <w:rPr>
          <w:rFonts w:eastAsia="Times New Roman" w:cstheme="minorHAnsi"/>
          <w:bCs/>
          <w:color w:val="060D59"/>
          <w:kern w:val="0"/>
          <w:sz w:val="28"/>
          <w:szCs w:val="28"/>
          <w14:ligatures w14:val="none"/>
        </w:rPr>
        <w:t>will</w:t>
      </w:r>
      <w:r w:rsidRPr="00C34F54">
        <w:rPr>
          <w:rFonts w:eastAsia="Times New Roman" w:cstheme="minorHAnsi"/>
          <w:bCs/>
          <w:color w:val="060D59"/>
          <w:kern w:val="0"/>
          <w:sz w:val="28"/>
          <w:szCs w:val="28"/>
          <w14:ligatures w14:val="none"/>
        </w:rPr>
        <w:t xml:space="preserve"> the standards </w:t>
      </w:r>
      <w:proofErr w:type="gramStart"/>
      <w:r w:rsidR="00213E69">
        <w:rPr>
          <w:rFonts w:eastAsia="Times New Roman" w:cstheme="minorHAnsi"/>
          <w:bCs/>
          <w:color w:val="060D59"/>
          <w:kern w:val="0"/>
          <w:sz w:val="28"/>
          <w:szCs w:val="28"/>
          <w14:ligatures w14:val="none"/>
        </w:rPr>
        <w:t xml:space="preserve">be </w:t>
      </w:r>
      <w:r w:rsidRPr="00C34F54">
        <w:rPr>
          <w:rFonts w:eastAsia="Times New Roman" w:cstheme="minorHAnsi"/>
          <w:bCs/>
          <w:color w:val="060D59"/>
          <w:kern w:val="0"/>
          <w:sz w:val="28"/>
          <w:szCs w:val="28"/>
          <w14:ligatures w14:val="none"/>
        </w:rPr>
        <w:t>applied</w:t>
      </w:r>
      <w:proofErr w:type="gramEnd"/>
      <w:r w:rsidRPr="00C34F54">
        <w:rPr>
          <w:rFonts w:eastAsia="Times New Roman" w:cstheme="minorHAnsi"/>
          <w:bCs/>
          <w:color w:val="060D59"/>
          <w:kern w:val="0"/>
          <w:sz w:val="28"/>
          <w:szCs w:val="28"/>
          <w14:ligatures w14:val="none"/>
        </w:rPr>
        <w:t xml:space="preserve">? </w:t>
      </w:r>
    </w:p>
    <w:p w14:paraId="33666A6C" w14:textId="02BC1687" w:rsidR="0051659E" w:rsidRPr="00E11718" w:rsidRDefault="001F5811" w:rsidP="0051659E">
      <w:pPr>
        <w:rPr>
          <w:sz w:val="24"/>
          <w:szCs w:val="24"/>
        </w:rPr>
      </w:pPr>
      <w:r>
        <w:rPr>
          <w:sz w:val="24"/>
          <w:szCs w:val="24"/>
        </w:rPr>
        <w:lastRenderedPageBreak/>
        <w:t xml:space="preserve">In the Resolution, the </w:t>
      </w:r>
      <w:r w:rsidR="001E5ED7">
        <w:rPr>
          <w:sz w:val="24"/>
          <w:szCs w:val="24"/>
        </w:rPr>
        <w:t>GPA</w:t>
      </w:r>
      <w:r w:rsidR="00611A9D">
        <w:rPr>
          <w:sz w:val="24"/>
          <w:szCs w:val="24"/>
        </w:rPr>
        <w:t xml:space="preserve"> members</w:t>
      </w:r>
      <w:r w:rsidR="001E5ED7">
        <w:rPr>
          <w:sz w:val="24"/>
          <w:szCs w:val="24"/>
        </w:rPr>
        <w:t xml:space="preserve"> agree</w:t>
      </w:r>
      <w:r w:rsidR="0051659E" w:rsidRPr="00E11718">
        <w:rPr>
          <w:sz w:val="24"/>
          <w:szCs w:val="24"/>
        </w:rPr>
        <w:t xml:space="preserve"> to: </w:t>
      </w:r>
    </w:p>
    <w:p w14:paraId="7B0D6FB9" w14:textId="77777777" w:rsidR="0051659E" w:rsidRDefault="0051659E" w:rsidP="0051659E">
      <w:pPr>
        <w:pStyle w:val="ListParagraph"/>
        <w:numPr>
          <w:ilvl w:val="0"/>
          <w:numId w:val="8"/>
        </w:numPr>
        <w:rPr>
          <w:sz w:val="24"/>
          <w:szCs w:val="24"/>
        </w:rPr>
      </w:pPr>
      <w:r w:rsidRPr="00E11718">
        <w:rPr>
          <w:sz w:val="24"/>
          <w:szCs w:val="24"/>
        </w:rPr>
        <w:t xml:space="preserve">Advocate for, </w:t>
      </w:r>
      <w:proofErr w:type="gramStart"/>
      <w:r w:rsidRPr="00E11718">
        <w:rPr>
          <w:sz w:val="24"/>
          <w:szCs w:val="24"/>
        </w:rPr>
        <w:t>promulgate</w:t>
      </w:r>
      <w:proofErr w:type="gramEnd"/>
      <w:r w:rsidRPr="00E11718">
        <w:rPr>
          <w:sz w:val="24"/>
          <w:szCs w:val="24"/>
        </w:rPr>
        <w:t xml:space="preserve"> and promote the principles, rights and other elements set out in this resolution, to ensure they can be effectively implemented and applied in all contexts, particularly in the processing of data with new and emerging technologies and innovations; and </w:t>
      </w:r>
    </w:p>
    <w:p w14:paraId="4D83F8C7" w14:textId="77777777" w:rsidR="0051659E" w:rsidRPr="00E11718" w:rsidRDefault="0051659E" w:rsidP="0051659E">
      <w:pPr>
        <w:pStyle w:val="ListParagraph"/>
        <w:rPr>
          <w:sz w:val="24"/>
          <w:szCs w:val="24"/>
        </w:rPr>
      </w:pPr>
    </w:p>
    <w:p w14:paraId="5AEBCBC6" w14:textId="77777777" w:rsidR="0051659E" w:rsidRPr="00E11718" w:rsidRDefault="0051659E" w:rsidP="0051659E">
      <w:pPr>
        <w:pStyle w:val="ListParagraph"/>
        <w:numPr>
          <w:ilvl w:val="0"/>
          <w:numId w:val="8"/>
        </w:numPr>
        <w:rPr>
          <w:sz w:val="24"/>
          <w:szCs w:val="24"/>
        </w:rPr>
      </w:pPr>
      <w:r w:rsidRPr="00E11718">
        <w:rPr>
          <w:sz w:val="24"/>
          <w:szCs w:val="24"/>
        </w:rPr>
        <w:t xml:space="preserve">Call on law and policy makers to consult data protection and privacy authorities as trusted expert advisers when enacting and amending data protection, </w:t>
      </w:r>
      <w:proofErr w:type="gramStart"/>
      <w:r w:rsidRPr="00E11718">
        <w:rPr>
          <w:sz w:val="24"/>
          <w:szCs w:val="24"/>
        </w:rPr>
        <w:t>privacy</w:t>
      </w:r>
      <w:proofErr w:type="gramEnd"/>
      <w:r w:rsidRPr="00E11718">
        <w:rPr>
          <w:sz w:val="24"/>
          <w:szCs w:val="24"/>
        </w:rPr>
        <w:t xml:space="preserve"> and related laws.</w:t>
      </w:r>
    </w:p>
    <w:p w14:paraId="6861A360" w14:textId="77777777" w:rsidR="00BA5C85" w:rsidRDefault="00BA5C85">
      <w:pPr>
        <w:rPr>
          <w:rFonts w:cstheme="minorHAnsi"/>
          <w:sz w:val="24"/>
          <w:szCs w:val="24"/>
        </w:rPr>
      </w:pPr>
    </w:p>
    <w:p w14:paraId="720D1C6D" w14:textId="03611D59" w:rsidR="00AD4D54" w:rsidRPr="00DE12B1" w:rsidRDefault="00AD4D54" w:rsidP="00DE12B1">
      <w:pPr>
        <w:pStyle w:val="ListParagraph"/>
        <w:numPr>
          <w:ilvl w:val="0"/>
          <w:numId w:val="3"/>
        </w:numPr>
        <w:rPr>
          <w:rFonts w:eastAsia="Times New Roman" w:cstheme="minorHAnsi"/>
          <w:bCs/>
          <w:color w:val="060D59"/>
          <w:kern w:val="0"/>
          <w:sz w:val="28"/>
          <w:szCs w:val="28"/>
          <w14:ligatures w14:val="none"/>
        </w:rPr>
      </w:pPr>
      <w:r w:rsidRPr="00DE12B1">
        <w:rPr>
          <w:rFonts w:eastAsia="Times New Roman" w:cstheme="minorHAnsi"/>
          <w:bCs/>
          <w:color w:val="060D59"/>
          <w:kern w:val="0"/>
          <w:sz w:val="28"/>
          <w:szCs w:val="28"/>
          <w14:ligatures w14:val="none"/>
        </w:rPr>
        <w:t>What can my organisation do to promote the Resolution</w:t>
      </w:r>
      <w:r w:rsidR="004E3831">
        <w:rPr>
          <w:rFonts w:eastAsia="Times New Roman" w:cstheme="minorHAnsi"/>
          <w:bCs/>
          <w:color w:val="060D59"/>
          <w:kern w:val="0"/>
          <w:sz w:val="28"/>
          <w:szCs w:val="28"/>
          <w14:ligatures w14:val="none"/>
        </w:rPr>
        <w:t xml:space="preserve">’s </w:t>
      </w:r>
      <w:r w:rsidR="005E2354">
        <w:rPr>
          <w:rFonts w:eastAsia="Times New Roman" w:cstheme="minorHAnsi"/>
          <w:bCs/>
          <w:color w:val="060D59"/>
          <w:kern w:val="0"/>
          <w:sz w:val="28"/>
          <w:szCs w:val="28"/>
          <w14:ligatures w14:val="none"/>
        </w:rPr>
        <w:t xml:space="preserve">principles </w:t>
      </w:r>
      <w:r w:rsidRPr="00DE12B1">
        <w:rPr>
          <w:rFonts w:eastAsia="Times New Roman" w:cstheme="minorHAnsi"/>
          <w:bCs/>
          <w:color w:val="060D59"/>
          <w:kern w:val="0"/>
          <w:sz w:val="28"/>
          <w:szCs w:val="28"/>
          <w14:ligatures w14:val="none"/>
        </w:rPr>
        <w:t xml:space="preserve">and </w:t>
      </w:r>
      <w:r w:rsidR="00513D60">
        <w:rPr>
          <w:rFonts w:eastAsia="Times New Roman" w:cstheme="minorHAnsi"/>
          <w:bCs/>
          <w:color w:val="060D59"/>
          <w:kern w:val="0"/>
          <w:sz w:val="28"/>
          <w:szCs w:val="28"/>
          <w14:ligatures w14:val="none"/>
        </w:rPr>
        <w:t>implement</w:t>
      </w:r>
      <w:r w:rsidRPr="00DE12B1">
        <w:rPr>
          <w:rFonts w:eastAsia="Times New Roman" w:cstheme="minorHAnsi"/>
          <w:bCs/>
          <w:color w:val="060D59"/>
          <w:kern w:val="0"/>
          <w:sz w:val="28"/>
          <w:szCs w:val="28"/>
          <w14:ligatures w14:val="none"/>
        </w:rPr>
        <w:t xml:space="preserve"> </w:t>
      </w:r>
      <w:r w:rsidR="004F440B">
        <w:rPr>
          <w:rFonts w:eastAsia="Times New Roman" w:cstheme="minorHAnsi"/>
          <w:bCs/>
          <w:color w:val="060D59"/>
          <w:kern w:val="0"/>
          <w:sz w:val="28"/>
          <w:szCs w:val="28"/>
          <w14:ligatures w14:val="none"/>
        </w:rPr>
        <w:t>high data protection standards</w:t>
      </w:r>
      <w:r w:rsidRPr="00DE12B1">
        <w:rPr>
          <w:rFonts w:eastAsia="Times New Roman" w:cstheme="minorHAnsi"/>
          <w:bCs/>
          <w:color w:val="060D59"/>
          <w:kern w:val="0"/>
          <w:sz w:val="28"/>
          <w:szCs w:val="28"/>
          <w14:ligatures w14:val="none"/>
        </w:rPr>
        <w:t xml:space="preserve">? </w:t>
      </w:r>
    </w:p>
    <w:p w14:paraId="7C08780E" w14:textId="12F85189" w:rsidR="00AD4D54" w:rsidRDefault="00AD4D54" w:rsidP="00AD4D54">
      <w:pPr>
        <w:rPr>
          <w:sz w:val="24"/>
          <w:szCs w:val="24"/>
        </w:rPr>
      </w:pPr>
      <w:r>
        <w:rPr>
          <w:sz w:val="24"/>
          <w:szCs w:val="24"/>
        </w:rPr>
        <w:t xml:space="preserve">There are </w:t>
      </w:r>
      <w:proofErr w:type="gramStart"/>
      <w:r>
        <w:rPr>
          <w:sz w:val="24"/>
          <w:szCs w:val="24"/>
        </w:rPr>
        <w:t>a few</w:t>
      </w:r>
      <w:proofErr w:type="gramEnd"/>
      <w:r>
        <w:rPr>
          <w:sz w:val="24"/>
          <w:szCs w:val="24"/>
        </w:rPr>
        <w:t xml:space="preserve"> helpful things organisation</w:t>
      </w:r>
      <w:r w:rsidR="00104047">
        <w:rPr>
          <w:sz w:val="24"/>
          <w:szCs w:val="24"/>
        </w:rPr>
        <w:t>s</w:t>
      </w:r>
      <w:r>
        <w:rPr>
          <w:sz w:val="24"/>
          <w:szCs w:val="24"/>
        </w:rPr>
        <w:t xml:space="preserve"> can do to spread the message of the Resolution and its important content and principles: </w:t>
      </w:r>
    </w:p>
    <w:p w14:paraId="6BF2B808" w14:textId="798365B9" w:rsidR="00AD4D54" w:rsidRDefault="00AD4D54" w:rsidP="00AD4D54">
      <w:pPr>
        <w:rPr>
          <w:sz w:val="24"/>
          <w:szCs w:val="24"/>
        </w:rPr>
      </w:pPr>
      <w:r w:rsidRPr="00E11718">
        <w:rPr>
          <w:i/>
          <w:iCs/>
          <w:sz w:val="24"/>
          <w:szCs w:val="24"/>
        </w:rPr>
        <w:t>Outreach sessions</w:t>
      </w:r>
      <w:r>
        <w:rPr>
          <w:sz w:val="24"/>
          <w:szCs w:val="24"/>
        </w:rPr>
        <w:t xml:space="preserve"> – call </w:t>
      </w:r>
      <w:r w:rsidRPr="00B04C01">
        <w:rPr>
          <w:sz w:val="24"/>
          <w:szCs w:val="24"/>
        </w:rPr>
        <w:t>GFSWG</w:t>
      </w:r>
      <w:r>
        <w:rPr>
          <w:sz w:val="24"/>
          <w:szCs w:val="24"/>
        </w:rPr>
        <w:t xml:space="preserve"> members to support any webinars or other outreach you want to conduct in your organisation or jurisdiction</w:t>
      </w:r>
      <w:r w:rsidR="00AB7CAD">
        <w:rPr>
          <w:sz w:val="24"/>
          <w:szCs w:val="24"/>
        </w:rPr>
        <w:t>;</w:t>
      </w:r>
    </w:p>
    <w:p w14:paraId="598AE9FD" w14:textId="42880061" w:rsidR="00AD4D54" w:rsidRDefault="00AD4D54" w:rsidP="00AD4D54">
      <w:pPr>
        <w:rPr>
          <w:sz w:val="24"/>
          <w:szCs w:val="24"/>
        </w:rPr>
      </w:pPr>
      <w:r w:rsidRPr="00E11718">
        <w:rPr>
          <w:i/>
          <w:iCs/>
          <w:sz w:val="24"/>
          <w:szCs w:val="24"/>
        </w:rPr>
        <w:t>Social Media posts</w:t>
      </w:r>
      <w:r>
        <w:rPr>
          <w:sz w:val="24"/>
          <w:szCs w:val="24"/>
        </w:rPr>
        <w:t xml:space="preserve"> – use your organisation's social media channels to share the publicly available Resolution and supporting documents</w:t>
      </w:r>
      <w:proofErr w:type="gramStart"/>
      <w:r>
        <w:rPr>
          <w:sz w:val="24"/>
          <w:szCs w:val="24"/>
        </w:rPr>
        <w:t xml:space="preserve">.  </w:t>
      </w:r>
      <w:proofErr w:type="gramEnd"/>
      <w:r>
        <w:rPr>
          <w:sz w:val="24"/>
          <w:szCs w:val="24"/>
        </w:rPr>
        <w:t xml:space="preserve">Social media package and promotion materials are available through the </w:t>
      </w:r>
      <w:r w:rsidRPr="00B04C01">
        <w:rPr>
          <w:sz w:val="24"/>
          <w:szCs w:val="24"/>
        </w:rPr>
        <w:t>GFSWG</w:t>
      </w:r>
      <w:r>
        <w:rPr>
          <w:sz w:val="24"/>
          <w:szCs w:val="24"/>
        </w:rPr>
        <w:t xml:space="preserve"> members</w:t>
      </w:r>
      <w:r w:rsidR="00AB7CAD">
        <w:rPr>
          <w:sz w:val="24"/>
          <w:szCs w:val="24"/>
        </w:rPr>
        <w:t>; and</w:t>
      </w:r>
    </w:p>
    <w:p w14:paraId="1BBEE217" w14:textId="251FC5CC" w:rsidR="003142BE" w:rsidRPr="00FD34F5" w:rsidRDefault="00AD4D54">
      <w:pPr>
        <w:rPr>
          <w:sz w:val="24"/>
          <w:szCs w:val="24"/>
        </w:rPr>
      </w:pPr>
      <w:r w:rsidRPr="00E11718">
        <w:rPr>
          <w:i/>
          <w:iCs/>
          <w:sz w:val="24"/>
          <w:szCs w:val="24"/>
        </w:rPr>
        <w:t>DPA engagement</w:t>
      </w:r>
      <w:r>
        <w:rPr>
          <w:sz w:val="24"/>
          <w:szCs w:val="24"/>
        </w:rPr>
        <w:t xml:space="preserve"> – </w:t>
      </w:r>
      <w:r w:rsidR="003D13F2">
        <w:rPr>
          <w:sz w:val="24"/>
          <w:szCs w:val="24"/>
        </w:rPr>
        <w:t>contact</w:t>
      </w:r>
      <w:r w:rsidR="0047758E">
        <w:rPr>
          <w:sz w:val="24"/>
          <w:szCs w:val="24"/>
        </w:rPr>
        <w:t xml:space="preserve"> your</w:t>
      </w:r>
      <w:r>
        <w:rPr>
          <w:sz w:val="24"/>
          <w:szCs w:val="24"/>
        </w:rPr>
        <w:t xml:space="preserve"> local </w:t>
      </w:r>
      <w:r w:rsidR="0047758E">
        <w:rPr>
          <w:sz w:val="24"/>
          <w:szCs w:val="24"/>
        </w:rPr>
        <w:t>data protection authority</w:t>
      </w:r>
      <w:r>
        <w:rPr>
          <w:sz w:val="24"/>
          <w:szCs w:val="24"/>
        </w:rPr>
        <w:t xml:space="preserve"> </w:t>
      </w:r>
      <w:r w:rsidR="00B91848">
        <w:rPr>
          <w:sz w:val="24"/>
          <w:szCs w:val="24"/>
        </w:rPr>
        <w:t>to see</w:t>
      </w:r>
      <w:r>
        <w:rPr>
          <w:sz w:val="24"/>
          <w:szCs w:val="24"/>
        </w:rPr>
        <w:t xml:space="preserve"> how they can support you through </w:t>
      </w:r>
      <w:r w:rsidR="00B91848">
        <w:rPr>
          <w:sz w:val="24"/>
          <w:szCs w:val="24"/>
        </w:rPr>
        <w:t xml:space="preserve">guidance, </w:t>
      </w:r>
      <w:r w:rsidR="00AB7CAD">
        <w:rPr>
          <w:sz w:val="24"/>
          <w:szCs w:val="24"/>
        </w:rPr>
        <w:t>advice and</w:t>
      </w:r>
      <w:r>
        <w:rPr>
          <w:sz w:val="24"/>
          <w:szCs w:val="24"/>
        </w:rPr>
        <w:t xml:space="preserve"> consultation</w:t>
      </w:r>
      <w:r w:rsidR="00AB7CAD">
        <w:rPr>
          <w:sz w:val="24"/>
          <w:szCs w:val="24"/>
        </w:rPr>
        <w:t>,</w:t>
      </w:r>
      <w:r>
        <w:rPr>
          <w:sz w:val="24"/>
          <w:szCs w:val="24"/>
        </w:rPr>
        <w:t xml:space="preserve"> or other supervisory assistance</w:t>
      </w:r>
      <w:r w:rsidR="00AB7CAD">
        <w:rPr>
          <w:sz w:val="24"/>
          <w:szCs w:val="24"/>
        </w:rPr>
        <w:t>.</w:t>
      </w:r>
    </w:p>
    <w:sectPr w:rsidR="003142BE" w:rsidRPr="00FD34F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A2248" w14:textId="77777777" w:rsidR="00B60FD2" w:rsidRDefault="00B60FD2" w:rsidP="00E969DF">
      <w:pPr>
        <w:spacing w:after="0" w:line="240" w:lineRule="auto"/>
      </w:pPr>
      <w:r>
        <w:separator/>
      </w:r>
    </w:p>
  </w:endnote>
  <w:endnote w:type="continuationSeparator" w:id="0">
    <w:p w14:paraId="0BC9091C" w14:textId="77777777" w:rsidR="00B60FD2" w:rsidRDefault="00B60FD2" w:rsidP="00E96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632508"/>
      <w:docPartObj>
        <w:docPartGallery w:val="Page Numbers (Bottom of Page)"/>
        <w:docPartUnique/>
      </w:docPartObj>
    </w:sdtPr>
    <w:sdtEndPr>
      <w:rPr>
        <w:noProof/>
      </w:rPr>
    </w:sdtEndPr>
    <w:sdtContent>
      <w:p w14:paraId="35E905A1" w14:textId="6B438E0F" w:rsidR="00BF03E4" w:rsidRDefault="00BF03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197401" w14:textId="77777777" w:rsidR="00BF03E4" w:rsidRDefault="00BF0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22DD" w14:textId="77777777" w:rsidR="00B60FD2" w:rsidRDefault="00B60FD2" w:rsidP="00E969DF">
      <w:pPr>
        <w:spacing w:after="0" w:line="240" w:lineRule="auto"/>
      </w:pPr>
      <w:r>
        <w:separator/>
      </w:r>
    </w:p>
  </w:footnote>
  <w:footnote w:type="continuationSeparator" w:id="0">
    <w:p w14:paraId="68615CD6" w14:textId="77777777" w:rsidR="00B60FD2" w:rsidRDefault="00B60FD2" w:rsidP="00E969DF">
      <w:pPr>
        <w:spacing w:after="0" w:line="240" w:lineRule="auto"/>
      </w:pPr>
      <w:r>
        <w:continuationSeparator/>
      </w:r>
    </w:p>
  </w:footnote>
  <w:footnote w:id="1">
    <w:p w14:paraId="284F150F" w14:textId="39F76C75" w:rsidR="00E969DF" w:rsidRDefault="00E969DF">
      <w:pPr>
        <w:pStyle w:val="FootnoteText"/>
      </w:pPr>
      <w:r>
        <w:rPr>
          <w:rStyle w:val="FootnoteReference"/>
        </w:rPr>
        <w:footnoteRef/>
      </w:r>
      <w:r>
        <w:t xml:space="preserve"> </w:t>
      </w:r>
      <w:hyperlink r:id="rId1" w:history="1">
        <w:r w:rsidR="007D2A3C">
          <w:rPr>
            <w:rStyle w:val="Hyperlink"/>
          </w:rPr>
          <w:t>3.-Resolution-Achieving-global-DP-standards.pdf (globalprivacyassembly.org)</w:t>
        </w:r>
      </w:hyperlink>
      <w:r w:rsidR="007D2A3C">
        <w:t xml:space="preserve"> </w:t>
      </w:r>
    </w:p>
  </w:footnote>
  <w:footnote w:id="2">
    <w:p w14:paraId="24BFCBF9" w14:textId="2B6FA860" w:rsidR="008E6A7A" w:rsidRDefault="008E6A7A">
      <w:pPr>
        <w:pStyle w:val="FootnoteText"/>
      </w:pPr>
      <w:r>
        <w:rPr>
          <w:rStyle w:val="FootnoteReference"/>
        </w:rPr>
        <w:footnoteRef/>
      </w:r>
      <w:r>
        <w:t xml:space="preserve"> </w:t>
      </w:r>
      <w:hyperlink r:id="rId2" w:history="1">
        <w:r>
          <w:rPr>
            <w:rStyle w:val="Hyperlink"/>
          </w:rPr>
          <w:t>14302 STANDARS.qxp:Maquetación 1 (globalprivacyassembly.org)</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A4F"/>
    <w:multiLevelType w:val="hybridMultilevel"/>
    <w:tmpl w:val="1A105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24656"/>
    <w:multiLevelType w:val="hybridMultilevel"/>
    <w:tmpl w:val="3EFE0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A13A1"/>
    <w:multiLevelType w:val="multilevel"/>
    <w:tmpl w:val="916A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EC508F"/>
    <w:multiLevelType w:val="hybridMultilevel"/>
    <w:tmpl w:val="A002F206"/>
    <w:lvl w:ilvl="0" w:tplc="93861CE0">
      <w:start w:val="1"/>
      <w:numFmt w:val="decimal"/>
      <w:lvlText w:val="%1."/>
      <w:lvlJc w:val="left"/>
      <w:pPr>
        <w:ind w:left="1020" w:hanging="360"/>
      </w:pPr>
    </w:lvl>
    <w:lvl w:ilvl="1" w:tplc="14D238E2">
      <w:start w:val="1"/>
      <w:numFmt w:val="decimal"/>
      <w:lvlText w:val="%2."/>
      <w:lvlJc w:val="left"/>
      <w:pPr>
        <w:ind w:left="1020" w:hanging="360"/>
      </w:pPr>
    </w:lvl>
    <w:lvl w:ilvl="2" w:tplc="C0E6AB2A">
      <w:start w:val="1"/>
      <w:numFmt w:val="decimal"/>
      <w:lvlText w:val="%3."/>
      <w:lvlJc w:val="left"/>
      <w:pPr>
        <w:ind w:left="1020" w:hanging="360"/>
      </w:pPr>
    </w:lvl>
    <w:lvl w:ilvl="3" w:tplc="F3E418E6">
      <w:start w:val="1"/>
      <w:numFmt w:val="decimal"/>
      <w:lvlText w:val="%4."/>
      <w:lvlJc w:val="left"/>
      <w:pPr>
        <w:ind w:left="1020" w:hanging="360"/>
      </w:pPr>
    </w:lvl>
    <w:lvl w:ilvl="4" w:tplc="A7366B7E">
      <w:start w:val="1"/>
      <w:numFmt w:val="decimal"/>
      <w:lvlText w:val="%5."/>
      <w:lvlJc w:val="left"/>
      <w:pPr>
        <w:ind w:left="1020" w:hanging="360"/>
      </w:pPr>
    </w:lvl>
    <w:lvl w:ilvl="5" w:tplc="4014AE6E">
      <w:start w:val="1"/>
      <w:numFmt w:val="decimal"/>
      <w:lvlText w:val="%6."/>
      <w:lvlJc w:val="left"/>
      <w:pPr>
        <w:ind w:left="1020" w:hanging="360"/>
      </w:pPr>
    </w:lvl>
    <w:lvl w:ilvl="6" w:tplc="4830D502">
      <w:start w:val="1"/>
      <w:numFmt w:val="decimal"/>
      <w:lvlText w:val="%7."/>
      <w:lvlJc w:val="left"/>
      <w:pPr>
        <w:ind w:left="1020" w:hanging="360"/>
      </w:pPr>
    </w:lvl>
    <w:lvl w:ilvl="7" w:tplc="62B0832C">
      <w:start w:val="1"/>
      <w:numFmt w:val="decimal"/>
      <w:lvlText w:val="%8."/>
      <w:lvlJc w:val="left"/>
      <w:pPr>
        <w:ind w:left="1020" w:hanging="360"/>
      </w:pPr>
    </w:lvl>
    <w:lvl w:ilvl="8" w:tplc="B428F04E">
      <w:start w:val="1"/>
      <w:numFmt w:val="decimal"/>
      <w:lvlText w:val="%9."/>
      <w:lvlJc w:val="left"/>
      <w:pPr>
        <w:ind w:left="1020" w:hanging="360"/>
      </w:pPr>
    </w:lvl>
  </w:abstractNum>
  <w:abstractNum w:abstractNumId="4" w15:restartNumberingAfterBreak="0">
    <w:nsid w:val="2C5F6EC5"/>
    <w:multiLevelType w:val="hybridMultilevel"/>
    <w:tmpl w:val="8A6A9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A037EC"/>
    <w:multiLevelType w:val="hybridMultilevel"/>
    <w:tmpl w:val="4F000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E5EC1"/>
    <w:multiLevelType w:val="hybridMultilevel"/>
    <w:tmpl w:val="0442AC26"/>
    <w:lvl w:ilvl="0" w:tplc="4E1A950A">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283627"/>
    <w:multiLevelType w:val="hybridMultilevel"/>
    <w:tmpl w:val="7F58B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216DDF"/>
    <w:multiLevelType w:val="hybridMultilevel"/>
    <w:tmpl w:val="83E45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FF1F99"/>
    <w:multiLevelType w:val="hybridMultilevel"/>
    <w:tmpl w:val="E7B82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744320"/>
    <w:multiLevelType w:val="hybridMultilevel"/>
    <w:tmpl w:val="A514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C12A1"/>
    <w:multiLevelType w:val="hybridMultilevel"/>
    <w:tmpl w:val="8A6A91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7509845">
    <w:abstractNumId w:val="0"/>
  </w:num>
  <w:num w:numId="2" w16cid:durableId="1762488845">
    <w:abstractNumId w:val="6"/>
  </w:num>
  <w:num w:numId="3" w16cid:durableId="363095704">
    <w:abstractNumId w:val="1"/>
  </w:num>
  <w:num w:numId="4" w16cid:durableId="187529919">
    <w:abstractNumId w:val="7"/>
  </w:num>
  <w:num w:numId="5" w16cid:durableId="521170839">
    <w:abstractNumId w:val="4"/>
  </w:num>
  <w:num w:numId="6" w16cid:durableId="1217087574">
    <w:abstractNumId w:val="9"/>
  </w:num>
  <w:num w:numId="7" w16cid:durableId="979649719">
    <w:abstractNumId w:val="8"/>
  </w:num>
  <w:num w:numId="8" w16cid:durableId="833498234">
    <w:abstractNumId w:val="10"/>
  </w:num>
  <w:num w:numId="9" w16cid:durableId="824316181">
    <w:abstractNumId w:val="2"/>
  </w:num>
  <w:num w:numId="10" w16cid:durableId="1294405280">
    <w:abstractNumId w:val="11"/>
  </w:num>
  <w:num w:numId="11" w16cid:durableId="1241646387">
    <w:abstractNumId w:val="5"/>
  </w:num>
  <w:num w:numId="12" w16cid:durableId="1212692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BE"/>
    <w:rsid w:val="00002DDD"/>
    <w:rsid w:val="00006CC4"/>
    <w:rsid w:val="00053393"/>
    <w:rsid w:val="000B0B14"/>
    <w:rsid w:val="000E0C18"/>
    <w:rsid w:val="000F7B2A"/>
    <w:rsid w:val="00104047"/>
    <w:rsid w:val="0012244F"/>
    <w:rsid w:val="00127222"/>
    <w:rsid w:val="001423B9"/>
    <w:rsid w:val="00150FD1"/>
    <w:rsid w:val="00170B4E"/>
    <w:rsid w:val="00177471"/>
    <w:rsid w:val="001D4565"/>
    <w:rsid w:val="001E0603"/>
    <w:rsid w:val="001E5ED7"/>
    <w:rsid w:val="001E7A33"/>
    <w:rsid w:val="001F0779"/>
    <w:rsid w:val="001F5811"/>
    <w:rsid w:val="002074BF"/>
    <w:rsid w:val="00213E69"/>
    <w:rsid w:val="00234654"/>
    <w:rsid w:val="00264DCF"/>
    <w:rsid w:val="002B12F9"/>
    <w:rsid w:val="002F7A08"/>
    <w:rsid w:val="00311C23"/>
    <w:rsid w:val="003142BE"/>
    <w:rsid w:val="00323F28"/>
    <w:rsid w:val="00346155"/>
    <w:rsid w:val="0034654F"/>
    <w:rsid w:val="00365FC1"/>
    <w:rsid w:val="00392A61"/>
    <w:rsid w:val="003D13F2"/>
    <w:rsid w:val="003D334E"/>
    <w:rsid w:val="003E7AD2"/>
    <w:rsid w:val="00406586"/>
    <w:rsid w:val="004163C5"/>
    <w:rsid w:val="00451043"/>
    <w:rsid w:val="00467231"/>
    <w:rsid w:val="0047758E"/>
    <w:rsid w:val="004A2847"/>
    <w:rsid w:val="004B370F"/>
    <w:rsid w:val="004C56BE"/>
    <w:rsid w:val="004E2538"/>
    <w:rsid w:val="004E3831"/>
    <w:rsid w:val="004F440B"/>
    <w:rsid w:val="00513D60"/>
    <w:rsid w:val="0051659E"/>
    <w:rsid w:val="00536D5B"/>
    <w:rsid w:val="00550DAE"/>
    <w:rsid w:val="00554F5A"/>
    <w:rsid w:val="00577572"/>
    <w:rsid w:val="00592358"/>
    <w:rsid w:val="005A41DF"/>
    <w:rsid w:val="005B34E3"/>
    <w:rsid w:val="005C31E0"/>
    <w:rsid w:val="005C3369"/>
    <w:rsid w:val="005D1E14"/>
    <w:rsid w:val="005E2354"/>
    <w:rsid w:val="00600487"/>
    <w:rsid w:val="00600F9E"/>
    <w:rsid w:val="00603F31"/>
    <w:rsid w:val="00611A9D"/>
    <w:rsid w:val="00614E6B"/>
    <w:rsid w:val="0064214F"/>
    <w:rsid w:val="00670533"/>
    <w:rsid w:val="006807E5"/>
    <w:rsid w:val="006E02D6"/>
    <w:rsid w:val="006E60E9"/>
    <w:rsid w:val="00767C31"/>
    <w:rsid w:val="007A0F2E"/>
    <w:rsid w:val="007B5A18"/>
    <w:rsid w:val="007D2A3C"/>
    <w:rsid w:val="007F7328"/>
    <w:rsid w:val="0082178E"/>
    <w:rsid w:val="00825297"/>
    <w:rsid w:val="00861895"/>
    <w:rsid w:val="00870ED0"/>
    <w:rsid w:val="00877D47"/>
    <w:rsid w:val="008B6E94"/>
    <w:rsid w:val="008E0C84"/>
    <w:rsid w:val="008E6A7A"/>
    <w:rsid w:val="008E71FC"/>
    <w:rsid w:val="008F0482"/>
    <w:rsid w:val="008F3C5B"/>
    <w:rsid w:val="0090155B"/>
    <w:rsid w:val="00936510"/>
    <w:rsid w:val="00945839"/>
    <w:rsid w:val="00997ABD"/>
    <w:rsid w:val="009D36B4"/>
    <w:rsid w:val="009D3931"/>
    <w:rsid w:val="009F5617"/>
    <w:rsid w:val="00A07A75"/>
    <w:rsid w:val="00A5123C"/>
    <w:rsid w:val="00A71315"/>
    <w:rsid w:val="00A930DD"/>
    <w:rsid w:val="00AA38D5"/>
    <w:rsid w:val="00AA41AE"/>
    <w:rsid w:val="00AB3173"/>
    <w:rsid w:val="00AB3465"/>
    <w:rsid w:val="00AB7CAD"/>
    <w:rsid w:val="00AD4039"/>
    <w:rsid w:val="00AD4D54"/>
    <w:rsid w:val="00B478E2"/>
    <w:rsid w:val="00B60FD2"/>
    <w:rsid w:val="00B70D0B"/>
    <w:rsid w:val="00B86CD3"/>
    <w:rsid w:val="00B91848"/>
    <w:rsid w:val="00BA5C85"/>
    <w:rsid w:val="00BF03E4"/>
    <w:rsid w:val="00BF2F0A"/>
    <w:rsid w:val="00C25805"/>
    <w:rsid w:val="00C34F54"/>
    <w:rsid w:val="00C351F8"/>
    <w:rsid w:val="00C66598"/>
    <w:rsid w:val="00CB0912"/>
    <w:rsid w:val="00D05426"/>
    <w:rsid w:val="00D3491F"/>
    <w:rsid w:val="00D40C78"/>
    <w:rsid w:val="00D41466"/>
    <w:rsid w:val="00D44FC1"/>
    <w:rsid w:val="00D62DE5"/>
    <w:rsid w:val="00D84DEE"/>
    <w:rsid w:val="00D93322"/>
    <w:rsid w:val="00D937A4"/>
    <w:rsid w:val="00DD0DE5"/>
    <w:rsid w:val="00DE12B1"/>
    <w:rsid w:val="00DE2042"/>
    <w:rsid w:val="00DE2F6E"/>
    <w:rsid w:val="00E002A0"/>
    <w:rsid w:val="00E04425"/>
    <w:rsid w:val="00E1286E"/>
    <w:rsid w:val="00E25174"/>
    <w:rsid w:val="00E33DED"/>
    <w:rsid w:val="00E75B48"/>
    <w:rsid w:val="00E76C13"/>
    <w:rsid w:val="00E81B96"/>
    <w:rsid w:val="00E8661F"/>
    <w:rsid w:val="00E90C33"/>
    <w:rsid w:val="00E969DF"/>
    <w:rsid w:val="00EA62C8"/>
    <w:rsid w:val="00EB5924"/>
    <w:rsid w:val="00F56CC7"/>
    <w:rsid w:val="00F625FB"/>
    <w:rsid w:val="00F66452"/>
    <w:rsid w:val="00F66C68"/>
    <w:rsid w:val="00F81411"/>
    <w:rsid w:val="00F8273C"/>
    <w:rsid w:val="00F93561"/>
    <w:rsid w:val="00FD34F5"/>
    <w:rsid w:val="00FE4D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98AA"/>
  <w15:chartTrackingRefBased/>
  <w15:docId w15:val="{22919A5C-D252-44D9-AD8B-D4574AFE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2BE"/>
    <w:pPr>
      <w:ind w:left="720"/>
      <w:contextualSpacing/>
    </w:pPr>
  </w:style>
  <w:style w:type="paragraph" w:styleId="FootnoteText">
    <w:name w:val="footnote text"/>
    <w:basedOn w:val="Normal"/>
    <w:link w:val="FootnoteTextChar"/>
    <w:uiPriority w:val="99"/>
    <w:semiHidden/>
    <w:unhideWhenUsed/>
    <w:rsid w:val="00E969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69DF"/>
    <w:rPr>
      <w:sz w:val="20"/>
      <w:szCs w:val="20"/>
    </w:rPr>
  </w:style>
  <w:style w:type="character" w:styleId="FootnoteReference">
    <w:name w:val="footnote reference"/>
    <w:basedOn w:val="DefaultParagraphFont"/>
    <w:uiPriority w:val="99"/>
    <w:semiHidden/>
    <w:unhideWhenUsed/>
    <w:rsid w:val="00E969DF"/>
    <w:rPr>
      <w:vertAlign w:val="superscript"/>
    </w:rPr>
  </w:style>
  <w:style w:type="character" w:styleId="Hyperlink">
    <w:name w:val="Hyperlink"/>
    <w:basedOn w:val="DefaultParagraphFont"/>
    <w:uiPriority w:val="99"/>
    <w:semiHidden/>
    <w:unhideWhenUsed/>
    <w:rsid w:val="007D2A3C"/>
    <w:rPr>
      <w:color w:val="0000FF"/>
      <w:u w:val="single"/>
    </w:rPr>
  </w:style>
  <w:style w:type="character" w:styleId="CommentReference">
    <w:name w:val="annotation reference"/>
    <w:basedOn w:val="DefaultParagraphFont"/>
    <w:uiPriority w:val="99"/>
    <w:semiHidden/>
    <w:unhideWhenUsed/>
    <w:rsid w:val="00150FD1"/>
    <w:rPr>
      <w:sz w:val="16"/>
      <w:szCs w:val="16"/>
    </w:rPr>
  </w:style>
  <w:style w:type="paragraph" w:styleId="CommentText">
    <w:name w:val="annotation text"/>
    <w:basedOn w:val="Normal"/>
    <w:link w:val="CommentTextChar"/>
    <w:uiPriority w:val="99"/>
    <w:unhideWhenUsed/>
    <w:rsid w:val="00150FD1"/>
    <w:pPr>
      <w:spacing w:line="240" w:lineRule="auto"/>
    </w:pPr>
    <w:rPr>
      <w:sz w:val="20"/>
      <w:szCs w:val="20"/>
    </w:rPr>
  </w:style>
  <w:style w:type="character" w:customStyle="1" w:styleId="CommentTextChar">
    <w:name w:val="Comment Text Char"/>
    <w:basedOn w:val="DefaultParagraphFont"/>
    <w:link w:val="CommentText"/>
    <w:uiPriority w:val="99"/>
    <w:rsid w:val="00150FD1"/>
    <w:rPr>
      <w:sz w:val="20"/>
      <w:szCs w:val="20"/>
    </w:rPr>
  </w:style>
  <w:style w:type="paragraph" w:styleId="CommentSubject">
    <w:name w:val="annotation subject"/>
    <w:basedOn w:val="CommentText"/>
    <w:next w:val="CommentText"/>
    <w:link w:val="CommentSubjectChar"/>
    <w:uiPriority w:val="99"/>
    <w:semiHidden/>
    <w:unhideWhenUsed/>
    <w:rsid w:val="00150FD1"/>
    <w:rPr>
      <w:b/>
      <w:bCs/>
    </w:rPr>
  </w:style>
  <w:style w:type="character" w:customStyle="1" w:styleId="CommentSubjectChar">
    <w:name w:val="Comment Subject Char"/>
    <w:basedOn w:val="CommentTextChar"/>
    <w:link w:val="CommentSubject"/>
    <w:uiPriority w:val="99"/>
    <w:semiHidden/>
    <w:rsid w:val="00150FD1"/>
    <w:rPr>
      <w:b/>
      <w:bCs/>
      <w:sz w:val="20"/>
      <w:szCs w:val="20"/>
    </w:rPr>
  </w:style>
  <w:style w:type="paragraph" w:styleId="Title">
    <w:name w:val="Title"/>
    <w:basedOn w:val="Normal"/>
    <w:next w:val="Normal"/>
    <w:link w:val="TitleChar"/>
    <w:autoRedefine/>
    <w:uiPriority w:val="10"/>
    <w:qFormat/>
    <w:rsid w:val="000B0B14"/>
    <w:pPr>
      <w:spacing w:after="0" w:line="240" w:lineRule="auto"/>
      <w:contextualSpacing/>
    </w:pPr>
    <w:rPr>
      <w:rFonts w:ascii="Calibri Light" w:eastAsia="Times New Roman" w:hAnsi="Calibri Light" w:cs="Times New Roman"/>
      <w:b/>
      <w:color w:val="FFFFFF"/>
      <w:spacing w:val="-10"/>
      <w:kern w:val="28"/>
      <w:sz w:val="72"/>
      <w:szCs w:val="56"/>
      <w14:ligatures w14:val="none"/>
    </w:rPr>
  </w:style>
  <w:style w:type="character" w:customStyle="1" w:styleId="TitleChar">
    <w:name w:val="Title Char"/>
    <w:basedOn w:val="DefaultParagraphFont"/>
    <w:link w:val="Title"/>
    <w:uiPriority w:val="10"/>
    <w:rsid w:val="000B0B14"/>
    <w:rPr>
      <w:rFonts w:ascii="Calibri Light" w:eastAsia="Times New Roman" w:hAnsi="Calibri Light" w:cs="Times New Roman"/>
      <w:b/>
      <w:color w:val="FFFFFF"/>
      <w:spacing w:val="-10"/>
      <w:kern w:val="28"/>
      <w:sz w:val="72"/>
      <w:szCs w:val="56"/>
      <w14:ligatures w14:val="none"/>
    </w:rPr>
  </w:style>
  <w:style w:type="paragraph" w:styleId="Header">
    <w:name w:val="header"/>
    <w:basedOn w:val="Normal"/>
    <w:link w:val="HeaderChar"/>
    <w:uiPriority w:val="99"/>
    <w:unhideWhenUsed/>
    <w:rsid w:val="00BF0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3E4"/>
  </w:style>
  <w:style w:type="paragraph" w:styleId="Footer">
    <w:name w:val="footer"/>
    <w:basedOn w:val="Normal"/>
    <w:link w:val="FooterChar"/>
    <w:uiPriority w:val="99"/>
    <w:unhideWhenUsed/>
    <w:rsid w:val="00BF0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alinstruments.oecd.org/en/instruments/OECD-LEGAL-048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lobalprivacyassembly.org/wp-content/uploads/2021/10/20211025-GPA-Resolution-Government-Access-Final-Adopted_.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globalprivacyassembly.org/wp-content/uploads/2015/02/The-Madrid-Resolution.pdf" TargetMode="External"/><Relationship Id="rId1" Type="http://schemas.openxmlformats.org/officeDocument/2006/relationships/hyperlink" Target="https://globalprivacyassembly.org/wp-content/uploads/2023/10/3.-Resolution-Achieving-global-DP-stand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d2b987-a578-4066-902c-c3c2199684d7" xsi:nil="true"/>
    <lcf76f155ced4ddcb4097134ff3c332f xmlns="cae4c571-70c4-4f0a-9fdc-93eb6759726f">
      <Terms xmlns="http://schemas.microsoft.com/office/infopath/2007/PartnerControls"/>
    </lcf76f155ced4ddcb4097134ff3c332f>
    <SharedWithUsers xmlns="98d2b987-a578-4066-902c-c3c2199684d7">
      <UserInfo>
        <DisplayName>Debora Biasutti</DisplayName>
        <AccountId>18</AccountId>
        <AccountType/>
      </UserInfo>
      <UserInfo>
        <DisplayName>Hannah McCausland</DisplayName>
        <AccountId>7</AccountId>
        <AccountType/>
      </UserInfo>
      <UserInfo>
        <DisplayName>Victoria Cetinkaya</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C47FE8AFBA734E92B2C19B7E176AD4" ma:contentTypeVersion="18" ma:contentTypeDescription="Create a new document." ma:contentTypeScope="" ma:versionID="aa4749770c50eece35ee9a9e32d6a0b0">
  <xsd:schema xmlns:xsd="http://www.w3.org/2001/XMLSchema" xmlns:xs="http://www.w3.org/2001/XMLSchema" xmlns:p="http://schemas.microsoft.com/office/2006/metadata/properties" xmlns:ns2="cae4c571-70c4-4f0a-9fdc-93eb6759726f" xmlns:ns3="98d2b987-a578-4066-902c-c3c2199684d7" targetNamespace="http://schemas.microsoft.com/office/2006/metadata/properties" ma:root="true" ma:fieldsID="46cd596299048a66e1635b7f2f833789" ns2:_="" ns3:_="">
    <xsd:import namespace="cae4c571-70c4-4f0a-9fdc-93eb6759726f"/>
    <xsd:import namespace="98d2b987-a578-4066-902c-c3c219968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4c571-70c4-4f0a-9fdc-93eb67597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c466a9-bc55-4599-9cf2-4d35ab2701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2b987-a578-4066-902c-c3c2199684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08e4c7-f744-4c79-b4ad-dc2c45ca1586}" ma:internalName="TaxCatchAll" ma:showField="CatchAllData" ma:web="98d2b987-a578-4066-902c-c3c2199684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E22AA-99BA-4C37-9F12-009ECFA89844}">
  <ds:schemaRefs>
    <ds:schemaRef ds:uri="http://schemas.openxmlformats.org/officeDocument/2006/bibliography"/>
  </ds:schemaRefs>
</ds:datastoreItem>
</file>

<file path=customXml/itemProps2.xml><?xml version="1.0" encoding="utf-8"?>
<ds:datastoreItem xmlns:ds="http://schemas.openxmlformats.org/officeDocument/2006/customXml" ds:itemID="{6E7E6F71-67E3-4635-903F-F2E4B4ADBF32}">
  <ds:schemaRefs>
    <ds:schemaRef ds:uri="http://schemas.microsoft.com/office/2006/metadata/properties"/>
    <ds:schemaRef ds:uri="http://schemas.microsoft.com/office/infopath/2007/PartnerControls"/>
    <ds:schemaRef ds:uri="98d2b987-a578-4066-902c-c3c2199684d7"/>
    <ds:schemaRef ds:uri="cae4c571-70c4-4f0a-9fdc-93eb6759726f"/>
  </ds:schemaRefs>
</ds:datastoreItem>
</file>

<file path=customXml/itemProps3.xml><?xml version="1.0" encoding="utf-8"?>
<ds:datastoreItem xmlns:ds="http://schemas.openxmlformats.org/officeDocument/2006/customXml" ds:itemID="{6DC06A2D-32F8-4999-96F0-4AFDC6B2D071}">
  <ds:schemaRefs>
    <ds:schemaRef ds:uri="http://schemas.microsoft.com/sharepoint/v3/contenttype/forms"/>
  </ds:schemaRefs>
</ds:datastoreItem>
</file>

<file path=customXml/itemProps4.xml><?xml version="1.0" encoding="utf-8"?>
<ds:datastoreItem xmlns:ds="http://schemas.openxmlformats.org/officeDocument/2006/customXml" ds:itemID="{8FB83CC6-37D1-482B-A67B-BFBDF38D0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4c571-70c4-4f0a-9fdc-93eb6759726f"/>
    <ds:schemaRef ds:uri="98d2b987-a578-4066-902c-c3c219968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Cetinkaya</dc:creator>
  <cp:keywords/>
  <dc:description/>
  <cp:lastModifiedBy>Victoria Cetinkaya</cp:lastModifiedBy>
  <cp:revision>9</cp:revision>
  <dcterms:created xsi:type="dcterms:W3CDTF">2024-05-17T13:43:00Z</dcterms:created>
  <dcterms:modified xsi:type="dcterms:W3CDTF">2024-05-17T14:06:00Z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0x01010061C47FE8AFBA734E92B2C19B7E176AD4</vt:lpwstr>
  </property>
</Properties>
</file>